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pageBreakBefore w:val="0"/>
        <w:kinsoku/>
        <w:wordWrap/>
        <w:topLinePunct w:val="0"/>
        <w:bidi w:val="0"/>
        <w:snapToGrid/>
        <w:spacing w:after="0" w:line="240" w:lineRule="auto"/>
        <w:jc w:val="both"/>
        <w:rPr>
          <w:rFonts w:eastAsia="宋体"/>
          <w:sz w:val="24"/>
          <w:szCs w:val="24"/>
          <w:lang w:val="en-US" w:eastAsia="zh-CN"/>
        </w:rPr>
      </w:pPr>
      <w:bookmarkStart w:id="0" w:name="OLE_LINK1"/>
      <w:bookmarkStart w:id="1" w:name="OLE_LINK2"/>
      <w:r>
        <w:rPr>
          <w:sz w:val="24"/>
          <w:szCs w:val="24"/>
        </w:rPr>
        <w:t>3GPP TSG-RAN WG2#10</w:t>
      </w:r>
      <w:r>
        <w:rPr>
          <w:rFonts w:hint="eastAsia" w:eastAsia="宋体"/>
          <w:sz w:val="24"/>
          <w:szCs w:val="24"/>
          <w:lang w:val="en-US" w:eastAsia="zh-CN"/>
        </w:rPr>
        <w:t>4</w:t>
      </w:r>
      <w:r>
        <w:rPr>
          <w:sz w:val="24"/>
          <w:szCs w:val="24"/>
        </w:rPr>
        <w:t xml:space="preserve">    </w:t>
      </w:r>
      <w:r>
        <w:rPr>
          <w:sz w:val="24"/>
          <w:szCs w:val="24"/>
        </w:rPr>
        <w:tab/>
      </w:r>
      <w:r>
        <w:rPr>
          <w:rFonts w:hint="eastAsia" w:eastAsia="宋体"/>
          <w:sz w:val="24"/>
          <w:szCs w:val="24"/>
          <w:lang w:eastAsia="zh-CN"/>
        </w:rPr>
        <w:t xml:space="preserve">                                                    </w:t>
      </w:r>
      <w:r>
        <w:rPr>
          <w:rFonts w:hint="eastAsia" w:eastAsia="宋体"/>
          <w:sz w:val="24"/>
          <w:szCs w:val="24"/>
          <w:lang w:val="en-US" w:eastAsia="zh-CN"/>
        </w:rPr>
        <w:t xml:space="preserve">                      </w:t>
      </w:r>
      <w:r>
        <w:rPr>
          <w:rFonts w:hint="eastAsia" w:eastAsia="宋体"/>
          <w:sz w:val="24"/>
          <w:szCs w:val="24"/>
          <w:lang w:eastAsia="zh-CN"/>
        </w:rPr>
        <w:t>R</w:t>
      </w:r>
      <w:r>
        <w:rPr>
          <w:rFonts w:eastAsia="宋体" w:cs="Arial"/>
          <w:sz w:val="24"/>
          <w:szCs w:val="24"/>
          <w:lang w:eastAsia="zh-CN"/>
        </w:rPr>
        <w:t>2-</w:t>
      </w:r>
      <w:r>
        <w:rPr>
          <w:rFonts w:hint="eastAsia" w:eastAsia="宋体" w:cs="Arial"/>
          <w:sz w:val="24"/>
          <w:szCs w:val="24"/>
          <w:lang w:eastAsia="zh-CN"/>
        </w:rPr>
        <w:t>1816980</w:t>
      </w:r>
    </w:p>
    <w:p>
      <w:pPr>
        <w:pStyle w:val="38"/>
        <w:pageBreakBefore w:val="0"/>
        <w:kinsoku/>
        <w:wordWrap/>
        <w:topLinePunct w:val="0"/>
        <w:bidi w:val="0"/>
        <w:snapToGrid/>
        <w:spacing w:after="0" w:line="240" w:lineRule="auto"/>
        <w:jc w:val="both"/>
        <w:rPr>
          <w:rFonts w:eastAsia="宋体"/>
          <w:sz w:val="24"/>
          <w:szCs w:val="24"/>
          <w:lang w:val="sv-SE" w:eastAsia="ko-KR"/>
        </w:rPr>
      </w:pPr>
      <w:r>
        <w:rPr>
          <w:rFonts w:hint="eastAsia" w:eastAsia="宋体"/>
          <w:sz w:val="24"/>
          <w:szCs w:val="24"/>
          <w:lang w:val="en-US" w:eastAsia="zh-CN"/>
        </w:rPr>
        <w:t>Spokane</w:t>
      </w:r>
      <w:r>
        <w:rPr>
          <w:rFonts w:eastAsia="宋体"/>
          <w:sz w:val="24"/>
          <w:szCs w:val="24"/>
          <w:lang w:val="sv-SE" w:eastAsia="ko-KR"/>
        </w:rPr>
        <w:t xml:space="preserve">, </w:t>
      </w:r>
      <w:r>
        <w:rPr>
          <w:rFonts w:hint="eastAsia" w:eastAsia="宋体"/>
          <w:sz w:val="24"/>
          <w:szCs w:val="24"/>
          <w:lang w:val="en-US" w:eastAsia="zh-CN"/>
        </w:rPr>
        <w:t>USA</w:t>
      </w:r>
      <w:r>
        <w:rPr>
          <w:rFonts w:eastAsia="宋体"/>
          <w:sz w:val="24"/>
          <w:szCs w:val="24"/>
          <w:lang w:val="sv-SE" w:eastAsia="ko-KR"/>
        </w:rPr>
        <w:t xml:space="preserve">, </w:t>
      </w:r>
      <w:r>
        <w:rPr>
          <w:rFonts w:hint="eastAsia" w:eastAsia="宋体"/>
          <w:sz w:val="24"/>
          <w:szCs w:val="24"/>
          <w:lang w:val="en-US" w:eastAsia="zh-CN"/>
        </w:rPr>
        <w:t>12nd</w:t>
      </w:r>
      <w:r>
        <w:rPr>
          <w:rFonts w:hint="eastAsia" w:eastAsia="宋体"/>
          <w:sz w:val="24"/>
          <w:szCs w:val="24"/>
          <w:lang w:val="sv-SE" w:eastAsia="ko-KR"/>
        </w:rPr>
        <w:t xml:space="preserve"> </w:t>
      </w:r>
      <w:r>
        <w:rPr>
          <w:rFonts w:eastAsia="宋体"/>
          <w:sz w:val="24"/>
          <w:szCs w:val="24"/>
          <w:lang w:val="sv-SE" w:eastAsia="ko-KR"/>
        </w:rPr>
        <w:t xml:space="preserve">– </w:t>
      </w:r>
      <w:r>
        <w:rPr>
          <w:rFonts w:hint="eastAsia" w:eastAsia="宋体"/>
          <w:sz w:val="24"/>
          <w:szCs w:val="24"/>
          <w:lang w:val="sv-SE" w:eastAsia="zh-CN"/>
        </w:rPr>
        <w:t>1</w:t>
      </w:r>
      <w:r>
        <w:rPr>
          <w:rFonts w:hint="eastAsia" w:eastAsia="宋体"/>
          <w:sz w:val="24"/>
          <w:szCs w:val="24"/>
          <w:lang w:val="en-US" w:eastAsia="zh-CN"/>
        </w:rPr>
        <w:t>6</w:t>
      </w:r>
      <w:r>
        <w:rPr>
          <w:rFonts w:eastAsia="宋体"/>
          <w:sz w:val="24"/>
          <w:szCs w:val="24"/>
          <w:lang w:val="sv-SE" w:eastAsia="ko-KR"/>
        </w:rPr>
        <w:t xml:space="preserve">th </w:t>
      </w:r>
      <w:r>
        <w:rPr>
          <w:rFonts w:hint="eastAsia"/>
          <w:sz w:val="24"/>
          <w:szCs w:val="24"/>
          <w:lang w:val="en-US" w:eastAsia="zh-CN"/>
        </w:rPr>
        <w:t>November</w:t>
      </w:r>
      <w:r>
        <w:rPr>
          <w:sz w:val="24"/>
          <w:szCs w:val="24"/>
        </w:rPr>
        <w:t xml:space="preserve"> </w:t>
      </w:r>
      <w:r>
        <w:rPr>
          <w:rFonts w:eastAsia="宋体"/>
          <w:sz w:val="24"/>
          <w:szCs w:val="24"/>
          <w:lang w:val="sv-SE" w:eastAsia="ko-KR"/>
        </w:rPr>
        <w:t>2018</w:t>
      </w:r>
    </w:p>
    <w:p>
      <w:pPr>
        <w:pStyle w:val="39"/>
        <w:pageBreakBefore w:val="0"/>
        <w:kinsoku/>
        <w:wordWrap/>
        <w:topLinePunct w:val="0"/>
        <w:bidi w:val="0"/>
        <w:snapToGrid/>
        <w:jc w:val="both"/>
        <w:rPr>
          <w:lang w:val="en-US"/>
        </w:rPr>
      </w:pPr>
    </w:p>
    <w:p>
      <w:pPr>
        <w:tabs>
          <w:tab w:val="left" w:pos="1985"/>
        </w:tabs>
        <w:jc w:val="both"/>
        <w:rPr>
          <w:rFonts w:hint="eastAsia" w:ascii="Arial" w:hAnsi="Arial"/>
          <w:b/>
          <w:sz w:val="24"/>
          <w:szCs w:val="22"/>
          <w:lang w:val="en-US" w:eastAsia="zh-CN"/>
        </w:rPr>
      </w:pPr>
      <w:r>
        <w:rPr>
          <w:rFonts w:ascii="Arial" w:hAnsi="Arial"/>
          <w:b/>
          <w:sz w:val="24"/>
          <w:szCs w:val="22"/>
          <w:lang w:val="en-US"/>
        </w:rPr>
        <w:t>Title:</w:t>
      </w:r>
      <w:bookmarkStart w:id="2" w:name="Title"/>
      <w:bookmarkEnd w:id="2"/>
      <w:r>
        <w:rPr>
          <w:rFonts w:ascii="Arial" w:hAnsi="Arial"/>
          <w:b/>
          <w:sz w:val="24"/>
          <w:szCs w:val="22"/>
          <w:lang w:val="en-US"/>
        </w:rPr>
        <w:tab/>
      </w:r>
      <w:r>
        <w:rPr>
          <w:rFonts w:hint="eastAsia" w:ascii="Arial" w:hAnsi="Arial"/>
          <w:b/>
          <w:sz w:val="24"/>
          <w:szCs w:val="22"/>
          <w:lang w:val="en-US" w:eastAsia="zh-CN"/>
        </w:rPr>
        <w:t>Consideration</w:t>
      </w:r>
      <w:r>
        <w:rPr>
          <w:rFonts w:ascii="Arial" w:hAnsi="Arial"/>
          <w:b/>
          <w:sz w:val="24"/>
          <w:szCs w:val="22"/>
          <w:lang w:val="en-US"/>
        </w:rPr>
        <w:t xml:space="preserve"> </w:t>
      </w:r>
      <w:r>
        <w:rPr>
          <w:rFonts w:hint="eastAsia" w:ascii="Arial" w:hAnsi="Arial"/>
          <w:b/>
          <w:sz w:val="24"/>
          <w:szCs w:val="22"/>
          <w:lang w:val="en-US" w:eastAsia="zh-CN"/>
        </w:rPr>
        <w:t>on</w:t>
      </w:r>
      <w:r>
        <w:rPr>
          <w:rFonts w:ascii="Arial" w:hAnsi="Arial"/>
          <w:b/>
          <w:sz w:val="24"/>
          <w:szCs w:val="22"/>
          <w:lang w:val="en-US"/>
        </w:rPr>
        <w:t xml:space="preserve"> </w:t>
      </w:r>
      <w:r>
        <w:rPr>
          <w:rFonts w:hint="eastAsia" w:ascii="Arial" w:hAnsi="Arial"/>
          <w:b/>
          <w:sz w:val="24"/>
          <w:szCs w:val="22"/>
          <w:lang w:val="en-US" w:eastAsia="zh-CN"/>
        </w:rPr>
        <w:t>NR V2X mode 1 resource allocation</w:t>
      </w:r>
    </w:p>
    <w:p>
      <w:pPr>
        <w:tabs>
          <w:tab w:val="left" w:pos="1985"/>
        </w:tabs>
        <w:jc w:val="both"/>
        <w:rPr>
          <w:rStyle w:val="132"/>
          <w:b/>
          <w:lang w:val="fr-FR"/>
        </w:rPr>
      </w:pPr>
      <w:r>
        <w:rPr>
          <w:rFonts w:ascii="Arial" w:hAnsi="Arial"/>
          <w:b/>
          <w:sz w:val="24"/>
          <w:lang w:val="fr-FR"/>
        </w:rPr>
        <w:t xml:space="preserve">Source: </w:t>
      </w:r>
      <w:r>
        <w:rPr>
          <w:rFonts w:ascii="Arial" w:hAnsi="Arial"/>
          <w:b/>
          <w:sz w:val="24"/>
          <w:lang w:val="fr-FR"/>
        </w:rPr>
        <w:tab/>
      </w:r>
      <w:r>
        <w:rPr>
          <w:rStyle w:val="132"/>
          <w:rFonts w:hint="eastAsia"/>
          <w:b/>
          <w:lang w:val="fr-FR"/>
        </w:rPr>
        <w:t>ZTE</w:t>
      </w:r>
      <w:r>
        <w:rPr>
          <w:rFonts w:hint="default" w:ascii="Arial" w:hAnsi="Arial" w:eastAsia="宋体"/>
          <w:b/>
          <w:sz w:val="24"/>
          <w:szCs w:val="22"/>
          <w:lang w:val="en-US" w:eastAsia="zh-CN"/>
        </w:rPr>
        <w:t>, Sanechips</w:t>
      </w:r>
    </w:p>
    <w:p>
      <w:pPr>
        <w:tabs>
          <w:tab w:val="left" w:pos="1985"/>
        </w:tabs>
        <w:jc w:val="both"/>
        <w:rPr>
          <w:rStyle w:val="132"/>
          <w:b/>
          <w:lang w:val="pt-BR" w:eastAsia="zh-CN"/>
        </w:rPr>
      </w:pPr>
      <w:r>
        <w:rPr>
          <w:rFonts w:ascii="Arial" w:hAnsi="Arial"/>
          <w:b/>
          <w:sz w:val="24"/>
          <w:lang w:val="pt-BR"/>
        </w:rPr>
        <w:t>Agenda item:</w:t>
      </w:r>
      <w:r>
        <w:rPr>
          <w:rFonts w:ascii="Arial" w:hAnsi="Arial"/>
          <w:b/>
          <w:sz w:val="24"/>
          <w:lang w:val="pt-BR"/>
        </w:rPr>
        <w:tab/>
      </w:r>
      <w:r>
        <w:rPr>
          <w:rFonts w:hint="eastAsia" w:ascii="Arial" w:hAnsi="Arial"/>
          <w:b/>
          <w:sz w:val="24"/>
          <w:lang w:val="pt-BR" w:eastAsia="zh-CN"/>
        </w:rPr>
        <w:t>11.4.2.4</w:t>
      </w:r>
      <w:bookmarkStart w:id="3" w:name="_GoBack"/>
      <w:bookmarkEnd w:id="3"/>
    </w:p>
    <w:p>
      <w:pPr>
        <w:tabs>
          <w:tab w:val="left" w:pos="1985"/>
        </w:tabs>
        <w:ind w:left="1980" w:hanging="1980"/>
        <w:jc w:val="both"/>
        <w:rPr>
          <w:rStyle w:val="132"/>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bookmarkEnd w:id="0"/>
    <w:bookmarkEnd w:id="1"/>
    <w:p>
      <w:pPr>
        <w:pStyle w:val="2"/>
        <w:pageBreakBefore w:val="0"/>
        <w:kinsoku/>
        <w:wordWrap/>
        <w:topLinePunct w:val="0"/>
        <w:bidi w:val="0"/>
        <w:snapToGrid/>
        <w:jc w:val="both"/>
      </w:pPr>
      <w:r>
        <w:t>Introduction</w:t>
      </w:r>
    </w:p>
    <w:p>
      <w:pPr>
        <w:pStyle w:val="114"/>
        <w:pageBreakBefore w:val="0"/>
        <w:numPr>
          <w:ilvl w:val="0"/>
          <w:numId w:val="0"/>
        </w:numPr>
        <w:kinsoku/>
        <w:wordWrap/>
        <w:topLinePunct w:val="0"/>
        <w:bidi w:val="0"/>
        <w:snapToGrid/>
        <w:jc w:val="both"/>
        <w:rPr>
          <w:rFonts w:hint="eastAsia" w:ascii="Times New Roman" w:hAnsi="Times New Roman" w:cs="Times New Roman" w:eastAsiaTheme="minorEastAsia"/>
          <w:sz w:val="20"/>
          <w:szCs w:val="20"/>
          <w:lang w:val="en-GB" w:eastAsia="zh-CN" w:bidi="ar-SA"/>
        </w:rPr>
      </w:pPr>
      <w:r>
        <w:rPr>
          <w:rFonts w:hint="eastAsia" w:ascii="Times New Roman" w:hAnsi="Times New Roman" w:cs="Times New Roman" w:eastAsiaTheme="minorEastAsia"/>
          <w:sz w:val="20"/>
          <w:szCs w:val="20"/>
          <w:lang w:val="en-GB" w:eastAsia="zh-CN" w:bidi="ar-SA"/>
        </w:rPr>
        <w:t>In RAN1#94bis, the following agreements have been made:</w:t>
      </w:r>
    </w:p>
    <w:tbl>
      <w:tblPr>
        <w:tblStyle w:val="52"/>
        <w:tblW w:w="100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1" w:type="dxa"/>
            <w:shd w:val="clear" w:color="auto" w:fill="auto"/>
            <w:vAlign w:val="top"/>
          </w:tcPr>
          <w:p>
            <w:pPr>
              <w:keepNext w:val="0"/>
              <w:keepLines w:val="0"/>
              <w:pageBreakBefore w:val="0"/>
              <w:widowControl/>
              <w:numPr>
                <w:ilvl w:val="0"/>
                <w:numId w:val="9"/>
              </w:numPr>
              <w:kinsoku/>
              <w:wordWrap/>
              <w:overflowPunct/>
              <w:topLinePunct w:val="0"/>
              <w:autoSpaceDE/>
              <w:autoSpaceDN/>
              <w:bidi w:val="0"/>
              <w:adjustRightInd/>
              <w:snapToGrid/>
              <w:ind w:left="420" w:leftChars="0" w:hanging="420" w:firstLineChars="0"/>
              <w:jc w:val="both"/>
              <w:textAlignment w:val="auto"/>
              <w:outlineLvl w:val="9"/>
              <w:rPr>
                <w:rFonts w:hint="eastAsia" w:eastAsia="宋体"/>
                <w:kern w:val="2"/>
                <w:sz w:val="20"/>
                <w:szCs w:val="20"/>
                <w:lang w:val="en-US" w:eastAsia="zh-CN"/>
              </w:rPr>
            </w:pPr>
            <w:r>
              <w:rPr>
                <w:rFonts w:hint="eastAsia" w:eastAsia="宋体"/>
                <w:kern w:val="2"/>
                <w:sz w:val="20"/>
                <w:szCs w:val="20"/>
                <w:lang w:val="en-US" w:eastAsia="zh-CN"/>
              </w:rPr>
              <w:t xml:space="preserve">For Uu for advanced V2X use cases, NR supports having multiple active UL configured grants in a given BWP in a given cell. </w:t>
            </w:r>
          </w:p>
          <w:p>
            <w:pPr>
              <w:keepNext w:val="0"/>
              <w:keepLines w:val="0"/>
              <w:pageBreakBefore w:val="0"/>
              <w:widowControl/>
              <w:kinsoku/>
              <w:wordWrap/>
              <w:overflowPunct/>
              <w:topLinePunct w:val="0"/>
              <w:autoSpaceDE/>
              <w:autoSpaceDN/>
              <w:bidi w:val="0"/>
              <w:adjustRightInd/>
              <w:snapToGrid/>
              <w:ind w:firstLine="600" w:firstLineChars="300"/>
              <w:jc w:val="both"/>
              <w:textAlignment w:val="auto"/>
              <w:outlineLvl w:val="9"/>
              <w:rPr>
                <w:rFonts w:hint="eastAsia" w:eastAsia="宋体"/>
                <w:kern w:val="2"/>
                <w:sz w:val="20"/>
                <w:szCs w:val="20"/>
                <w:lang w:val="en-US" w:eastAsia="zh-CN"/>
              </w:rPr>
            </w:pPr>
            <w:r>
              <w:rPr>
                <w:rFonts w:hint="eastAsia" w:eastAsia="宋体"/>
                <w:kern w:val="2"/>
                <w:sz w:val="20"/>
                <w:szCs w:val="20"/>
                <w:lang w:val="en-US" w:eastAsia="zh-CN"/>
              </w:rPr>
              <w:t>Details FFS</w:t>
            </w:r>
          </w:p>
          <w:p>
            <w:pPr>
              <w:keepNext w:val="0"/>
              <w:keepLines w:val="0"/>
              <w:pageBreakBefore w:val="0"/>
              <w:widowControl/>
              <w:numPr>
                <w:ilvl w:val="0"/>
                <w:numId w:val="9"/>
              </w:numPr>
              <w:kinsoku/>
              <w:wordWrap/>
              <w:overflowPunct/>
              <w:topLinePunct w:val="0"/>
              <w:autoSpaceDE/>
              <w:autoSpaceDN/>
              <w:bidi w:val="0"/>
              <w:adjustRightInd/>
              <w:snapToGrid/>
              <w:ind w:left="420" w:leftChars="0" w:hanging="420" w:firstLineChars="0"/>
              <w:jc w:val="both"/>
              <w:textAlignment w:val="auto"/>
              <w:outlineLvl w:val="9"/>
              <w:rPr>
                <w:rFonts w:hint="eastAsia" w:eastAsia="宋体"/>
                <w:kern w:val="2"/>
                <w:sz w:val="20"/>
                <w:szCs w:val="20"/>
                <w:lang w:val="en-US" w:eastAsia="zh-CN"/>
              </w:rPr>
            </w:pPr>
            <w:r>
              <w:rPr>
                <w:rFonts w:hint="eastAsia" w:eastAsia="宋体"/>
                <w:kern w:val="2"/>
                <w:sz w:val="20"/>
                <w:szCs w:val="20"/>
                <w:lang w:val="en-US" w:eastAsia="zh-CN"/>
              </w:rPr>
              <w:t>Continue studying NR sidelink resource allocation techniques by NR Uu for mode-1:</w:t>
            </w:r>
          </w:p>
          <w:p>
            <w:pPr>
              <w:keepNext w:val="0"/>
              <w:keepLines w:val="0"/>
              <w:pageBreakBefore w:val="0"/>
              <w:widowControl/>
              <w:kinsoku/>
              <w:wordWrap/>
              <w:overflowPunct/>
              <w:topLinePunct w:val="0"/>
              <w:autoSpaceDE/>
              <w:autoSpaceDN/>
              <w:bidi w:val="0"/>
              <w:adjustRightInd/>
              <w:snapToGrid/>
              <w:ind w:firstLine="600" w:firstLineChars="300"/>
              <w:jc w:val="both"/>
              <w:textAlignment w:val="auto"/>
              <w:outlineLvl w:val="9"/>
              <w:rPr>
                <w:rFonts w:hint="eastAsia" w:eastAsia="宋体"/>
                <w:kern w:val="2"/>
                <w:sz w:val="20"/>
                <w:szCs w:val="20"/>
                <w:lang w:val="en-GB" w:eastAsia="zh-CN"/>
              </w:rPr>
            </w:pPr>
            <w:r>
              <w:rPr>
                <w:rFonts w:hint="eastAsia" w:eastAsia="宋体"/>
                <w:kern w:val="2"/>
                <w:sz w:val="20"/>
                <w:szCs w:val="20"/>
                <w:lang w:val="en-GB" w:eastAsia="zh-CN"/>
              </w:rPr>
              <w:t>Dynamic resource allocation</w:t>
            </w:r>
          </w:p>
          <w:p>
            <w:pPr>
              <w:keepNext w:val="0"/>
              <w:keepLines w:val="0"/>
              <w:pageBreakBefore w:val="0"/>
              <w:widowControl/>
              <w:kinsoku/>
              <w:wordWrap/>
              <w:overflowPunct/>
              <w:topLinePunct w:val="0"/>
              <w:autoSpaceDE/>
              <w:autoSpaceDN/>
              <w:bidi w:val="0"/>
              <w:adjustRightInd/>
              <w:snapToGrid/>
              <w:ind w:firstLine="600" w:firstLineChars="300"/>
              <w:jc w:val="both"/>
              <w:textAlignment w:val="auto"/>
              <w:outlineLvl w:val="9"/>
              <w:rPr>
                <w:rFonts w:hint="eastAsia" w:eastAsia="宋体"/>
                <w:kern w:val="2"/>
                <w:sz w:val="20"/>
                <w:szCs w:val="20"/>
                <w:lang w:val="en-GB" w:eastAsia="zh-CN"/>
              </w:rPr>
            </w:pPr>
            <w:r>
              <w:rPr>
                <w:rFonts w:hint="eastAsia" w:eastAsia="宋体"/>
                <w:kern w:val="2"/>
                <w:sz w:val="20"/>
                <w:szCs w:val="20"/>
                <w:lang w:val="en-GB" w:eastAsia="zh-CN"/>
              </w:rPr>
              <w:t>Semi-persistent scheduling allocation or NR grant type-2 (activation/de-activation by physical layer signaling)</w:t>
            </w:r>
          </w:p>
          <w:p>
            <w:pPr>
              <w:keepNext w:val="0"/>
              <w:keepLines w:val="0"/>
              <w:pageBreakBefore w:val="0"/>
              <w:widowControl/>
              <w:kinsoku/>
              <w:wordWrap/>
              <w:overflowPunct/>
              <w:topLinePunct w:val="0"/>
              <w:autoSpaceDE/>
              <w:autoSpaceDN/>
              <w:bidi w:val="0"/>
              <w:adjustRightInd/>
              <w:snapToGrid/>
              <w:ind w:firstLine="600" w:firstLineChars="300"/>
              <w:jc w:val="both"/>
              <w:textAlignment w:val="auto"/>
              <w:outlineLvl w:val="9"/>
            </w:pPr>
            <w:r>
              <w:rPr>
                <w:rFonts w:hint="eastAsia" w:eastAsia="宋体"/>
                <w:kern w:val="2"/>
                <w:sz w:val="20"/>
                <w:szCs w:val="20"/>
                <w:lang w:val="en-GB" w:eastAsia="zh-CN"/>
              </w:rPr>
              <w:t>Grant free transmission i.e., configured NR grant type-1</w:t>
            </w:r>
          </w:p>
        </w:tc>
      </w:tr>
    </w:tbl>
    <w:p>
      <w:pPr>
        <w:pageBreakBefore w:val="0"/>
        <w:kinsoku/>
        <w:wordWrap/>
        <w:topLinePunct w:val="0"/>
        <w:bidi w:val="0"/>
        <w:snapToGrid/>
        <w:jc w:val="both"/>
        <w:rPr>
          <w:rFonts w:eastAsia="宋体"/>
          <w:kern w:val="2"/>
          <w:lang w:eastAsia="zh-CN"/>
        </w:rPr>
      </w:pPr>
      <w:r>
        <w:rPr>
          <w:rFonts w:hint="eastAsia" w:eastAsia="宋体"/>
          <w:kern w:val="2"/>
          <w:lang w:val="en-US" w:eastAsia="zh-CN"/>
        </w:rPr>
        <w:t>Based on above agreements, i</w:t>
      </w:r>
      <w:r>
        <w:rPr>
          <w:rFonts w:hint="eastAsia" w:eastAsia="宋体"/>
          <w:kern w:val="2"/>
          <w:lang w:eastAsia="zh-CN"/>
        </w:rPr>
        <w:t xml:space="preserve">n this contribution, </w:t>
      </w:r>
      <w:r>
        <w:rPr>
          <w:rFonts w:eastAsia="宋体"/>
          <w:kern w:val="2"/>
          <w:lang w:eastAsia="zh-CN"/>
        </w:rPr>
        <w:t xml:space="preserve">we will </w:t>
      </w:r>
      <w:r>
        <w:rPr>
          <w:rFonts w:hint="eastAsia" w:eastAsia="宋体"/>
          <w:kern w:val="2"/>
          <w:lang w:eastAsia="zh-CN"/>
        </w:rPr>
        <w:t xml:space="preserve">provide analyses on </w:t>
      </w:r>
      <w:r>
        <w:rPr>
          <w:rFonts w:hint="eastAsia" w:eastAsia="宋体"/>
          <w:kern w:val="2"/>
          <w:lang w:val="en-US" w:eastAsia="zh-CN"/>
        </w:rPr>
        <w:t xml:space="preserve">mode 1 </w:t>
      </w:r>
      <w:r>
        <w:rPr>
          <w:rFonts w:hint="eastAsia" w:eastAsia="宋体"/>
          <w:kern w:val="2"/>
          <w:sz w:val="20"/>
          <w:szCs w:val="20"/>
          <w:lang w:val="en-US" w:eastAsia="zh-CN"/>
        </w:rPr>
        <w:t xml:space="preserve">sidelink resource allocation </w:t>
      </w:r>
      <w:r>
        <w:rPr>
          <w:rFonts w:hint="eastAsia" w:eastAsia="宋体"/>
          <w:kern w:val="2"/>
          <w:lang w:val="en-US" w:eastAsia="zh-CN"/>
        </w:rPr>
        <w:t xml:space="preserve">related issue </w:t>
      </w:r>
      <w:r>
        <w:rPr>
          <w:rFonts w:eastAsia="宋体"/>
          <w:kern w:val="2"/>
          <w:lang w:eastAsia="zh-CN"/>
        </w:rPr>
        <w:t xml:space="preserve">for NR, </w:t>
      </w:r>
      <w:r>
        <w:rPr>
          <w:rFonts w:hint="eastAsia" w:eastAsia="宋体"/>
          <w:kern w:val="2"/>
          <w:lang w:eastAsia="zh-CN"/>
        </w:rPr>
        <w:t xml:space="preserve">and identify the </w:t>
      </w:r>
      <w:r>
        <w:rPr>
          <w:rFonts w:eastAsia="宋体"/>
          <w:kern w:val="2"/>
          <w:lang w:eastAsia="zh-CN"/>
        </w:rPr>
        <w:t>potential</w:t>
      </w:r>
      <w:r>
        <w:rPr>
          <w:rFonts w:hint="eastAsia" w:eastAsia="宋体"/>
          <w:kern w:val="2"/>
          <w:lang w:eastAsia="zh-CN"/>
        </w:rPr>
        <w:t xml:space="preserve"> standard impacts</w:t>
      </w:r>
      <w:r>
        <w:rPr>
          <w:rFonts w:eastAsia="宋体"/>
          <w:kern w:val="2"/>
          <w:lang w:eastAsia="zh-CN"/>
        </w:rPr>
        <w:t>.</w:t>
      </w:r>
    </w:p>
    <w:p>
      <w:pPr>
        <w:pStyle w:val="2"/>
        <w:tabs>
          <w:tab w:val="left" w:pos="567"/>
        </w:tabs>
        <w:ind w:hanging="718"/>
        <w:jc w:val="both"/>
        <w:rPr>
          <w:lang w:eastAsia="zh-CN"/>
        </w:rPr>
      </w:pPr>
      <w:r>
        <w:rPr>
          <w:lang w:eastAsia="zh-CN"/>
        </w:rPr>
        <w:t>D</w:t>
      </w:r>
      <w:r>
        <w:rPr>
          <w:rFonts w:hint="eastAsia"/>
          <w:lang w:eastAsia="zh-CN"/>
        </w:rPr>
        <w:t xml:space="preserve">iscussion </w:t>
      </w:r>
    </w:p>
    <w:p>
      <w:pPr>
        <w:pStyle w:val="3"/>
        <w:rPr>
          <w:lang w:eastAsia="zh-CN"/>
        </w:rPr>
      </w:pPr>
      <w:r>
        <w:rPr>
          <w:rFonts w:hint="eastAsia"/>
          <w:lang w:val="en-US" w:eastAsia="zh-CN"/>
        </w:rPr>
        <w:t>Dynamic resource allocation</w:t>
      </w:r>
    </w:p>
    <w:p>
      <w:pPr>
        <w:jc w:val="both"/>
        <w:rPr>
          <w:rFonts w:hint="eastAsia"/>
          <w:lang w:val="en-US" w:eastAsia="zh-CN"/>
        </w:rPr>
      </w:pPr>
      <w:r>
        <w:rPr>
          <w:rFonts w:hint="eastAsia"/>
          <w:lang w:val="en-US" w:eastAsia="zh-CN"/>
        </w:rPr>
        <w:t xml:space="preserve">According to the Rel-14, for dynamic resource allocation, UE </w:t>
      </w:r>
      <w:r>
        <w:rPr>
          <w:lang w:val="en-GB"/>
        </w:rPr>
        <w:t>needs to be RRC_CONNECTED in order to transmit data</w:t>
      </w:r>
      <w:r>
        <w:rPr>
          <w:rFonts w:hint="eastAsia"/>
          <w:lang w:val="en-US" w:eastAsia="zh-CN"/>
        </w:rPr>
        <w:t xml:space="preserve">. </w:t>
      </w:r>
      <w:r>
        <w:rPr>
          <w:lang w:val="en-GB"/>
        </w:rPr>
        <w:t>The UE sends a scheduling request (</w:t>
      </w:r>
      <w:r>
        <w:rPr>
          <w:rFonts w:hint="eastAsia"/>
          <w:lang w:val="en-US" w:eastAsia="zh-CN"/>
        </w:rPr>
        <w:t>SR</w:t>
      </w:r>
      <w:r>
        <w:rPr>
          <w:lang w:val="en-GB"/>
        </w:rPr>
        <w:t xml:space="preserve">) to the </w:t>
      </w:r>
      <w:r>
        <w:rPr>
          <w:rFonts w:hint="eastAsia"/>
          <w:lang w:val="en-US" w:eastAsia="zh-CN"/>
        </w:rPr>
        <w:t>g</w:t>
      </w:r>
      <w:r>
        <w:rPr>
          <w:lang w:val="en-GB"/>
        </w:rPr>
        <w:t xml:space="preserve">NB followed by a </w:t>
      </w:r>
      <w:r>
        <w:rPr>
          <w:rFonts w:eastAsia="Malgun Gothic"/>
          <w:lang w:val="en-GB" w:eastAsia="ko-KR"/>
        </w:rPr>
        <w:t>Sidelink</w:t>
      </w:r>
      <w:r>
        <w:rPr>
          <w:lang w:val="en-GB"/>
        </w:rPr>
        <w:t xml:space="preserve"> BSR. Based on the </w:t>
      </w:r>
      <w:r>
        <w:rPr>
          <w:rFonts w:eastAsia="Malgun Gothic"/>
          <w:lang w:val="en-GB" w:eastAsia="ko-KR"/>
        </w:rPr>
        <w:t>Sidelink</w:t>
      </w:r>
      <w:r>
        <w:rPr>
          <w:lang w:val="en-GB"/>
        </w:rPr>
        <w:t xml:space="preserve"> BSR the </w:t>
      </w:r>
      <w:r>
        <w:rPr>
          <w:rFonts w:hint="eastAsia"/>
          <w:lang w:val="en-US" w:eastAsia="zh-CN"/>
        </w:rPr>
        <w:t>e</w:t>
      </w:r>
      <w:r>
        <w:rPr>
          <w:lang w:val="en-GB"/>
        </w:rPr>
        <w:t>NB can determine that the UE has data for a sidelink communication transmission and estimate the resources needed for transmission</w:t>
      </w:r>
      <w:r>
        <w:rPr>
          <w:rFonts w:hint="eastAsia"/>
          <w:lang w:val="en-US" w:eastAsia="zh-CN"/>
        </w:rPr>
        <w:t>. e</w:t>
      </w:r>
      <w:r>
        <w:rPr>
          <w:lang w:val="en-GB"/>
        </w:rPr>
        <w:t>NB can schedule transmission resources for sidelink communication using SL-RNTI.</w:t>
      </w:r>
      <w:r>
        <w:rPr>
          <w:rFonts w:hint="eastAsia"/>
          <w:lang w:val="en-US" w:eastAsia="zh-CN"/>
        </w:rPr>
        <w:t xml:space="preserve"> The SL-RNTI is configured by eNB upon receiving the </w:t>
      </w:r>
      <w:r>
        <w:rPr>
          <w:rFonts w:eastAsia="Malgun Gothic"/>
          <w:lang w:eastAsia="ko-KR"/>
        </w:rPr>
        <w:t>Sidelink</w:t>
      </w:r>
      <w:r>
        <w:t xml:space="preserve"> UE Information </w:t>
      </w:r>
      <w:r>
        <w:rPr>
          <w:rFonts w:eastAsia="Malgun Gothic"/>
          <w:lang w:eastAsia="ko-KR"/>
        </w:rPr>
        <w:t>message</w:t>
      </w:r>
      <w:r>
        <w:t xml:space="preserve"> </w:t>
      </w:r>
      <w:r>
        <w:rPr>
          <w:rFonts w:hint="eastAsia"/>
          <w:lang w:val="en-US" w:eastAsia="zh-CN"/>
        </w:rPr>
        <w:t>from UE</w:t>
      </w:r>
      <w:r>
        <w:t xml:space="preserve"> when UE becomes interested in </w:t>
      </w:r>
      <w:r>
        <w:rPr>
          <w:rFonts w:hint="eastAsia"/>
          <w:lang w:val="en-US" w:eastAsia="zh-CN"/>
        </w:rPr>
        <w:t xml:space="preserve">V2X </w:t>
      </w:r>
      <w:r>
        <w:t xml:space="preserve">sidelink communication. </w:t>
      </w:r>
      <w:r>
        <w:rPr>
          <w:rFonts w:hint="eastAsia"/>
          <w:lang w:val="en-US" w:eastAsia="zh-CN"/>
        </w:rPr>
        <w:t xml:space="preserve">Figure 1 shows an example for SL dynamic resource allocation procedure. From the figure1, we can see that sidelink UE information reporting, SR and BSR are related to dynamic resource allocation. In this section, we will discuss the design considerations for NR V2X mode 1 dynamic resource allocation procedure. </w:t>
      </w:r>
    </w:p>
    <w:p>
      <w:pPr>
        <w:jc w:val="center"/>
      </w:pPr>
      <w:r>
        <w:drawing>
          <wp:inline distT="0" distB="0" distL="114300" distR="114300">
            <wp:extent cx="2399665" cy="2562225"/>
            <wp:effectExtent l="0" t="0" r="63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399665" cy="2562225"/>
                    </a:xfrm>
                    <a:prstGeom prst="rect">
                      <a:avLst/>
                    </a:prstGeom>
                    <a:noFill/>
                    <a:ln w="9525">
                      <a:noFill/>
                    </a:ln>
                  </pic:spPr>
                </pic:pic>
              </a:graphicData>
            </a:graphic>
          </wp:inline>
        </w:drawing>
      </w:r>
    </w:p>
    <w:p>
      <w:pPr>
        <w:jc w:val="center"/>
        <w:rPr>
          <w:rFonts w:hint="eastAsia" w:eastAsiaTheme="minorEastAsia"/>
          <w:lang w:val="en-US" w:eastAsia="zh-CN"/>
        </w:rPr>
      </w:pPr>
      <w:r>
        <w:rPr>
          <w:rFonts w:hint="eastAsia"/>
          <w:lang w:val="en-US" w:eastAsia="zh-CN"/>
        </w:rPr>
        <w:t>Figure 1 an example for SL dynamic resource allocation procedure</w:t>
      </w:r>
    </w:p>
    <w:p>
      <w:pPr>
        <w:jc w:val="both"/>
        <w:rPr>
          <w:rFonts w:hint="eastAsia"/>
          <w:lang w:val="en-US" w:eastAsia="zh-CN"/>
        </w:rPr>
      </w:pPr>
    </w:p>
    <w:p>
      <w:pPr>
        <w:pStyle w:val="4"/>
        <w:pageBreakBefore w:val="0"/>
        <w:kinsoku/>
        <w:wordWrap/>
        <w:topLinePunct w:val="0"/>
        <w:bidi w:val="0"/>
        <w:snapToGrid/>
        <w:jc w:val="both"/>
        <w:rPr>
          <w:rFonts w:hint="eastAsia"/>
          <w:lang w:val="en-US" w:eastAsia="zh-CN"/>
        </w:rPr>
      </w:pPr>
      <w:r>
        <w:rPr>
          <w:rFonts w:hint="eastAsia"/>
          <w:lang w:val="en-US" w:eastAsia="zh-CN"/>
        </w:rPr>
        <w:t>SR</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eastAsia="宋体"/>
          <w:kern w:val="2"/>
          <w:lang w:val="en-US" w:eastAsia="zh-CN"/>
        </w:rPr>
      </w:pPr>
      <w:r>
        <w:rPr>
          <w:rFonts w:hint="eastAsia"/>
          <w:lang w:val="en-US" w:eastAsia="zh-CN"/>
        </w:rPr>
        <w:t xml:space="preserve">As we know, </w:t>
      </w:r>
      <w:r>
        <w:t xml:space="preserve">the UE sends a SR to the serving </w:t>
      </w:r>
      <w:r>
        <w:rPr>
          <w:rFonts w:hint="eastAsia" w:eastAsia="宋体"/>
          <w:lang w:val="en-US" w:eastAsia="zh-CN"/>
        </w:rPr>
        <w:t>g</w:t>
      </w:r>
      <w:r>
        <w:t>NB in a dedicated resource and waits to receive the subsequent scheduling grant from network before actual UL payload transmission</w:t>
      </w:r>
      <w:r>
        <w:rPr>
          <w:rFonts w:hint="eastAsia"/>
          <w:lang w:val="en-US" w:eastAsia="zh-CN"/>
        </w:rPr>
        <w:t xml:space="preserve"> for </w:t>
      </w:r>
      <w:r>
        <w:t xml:space="preserve">dynamic scheduling. </w:t>
      </w:r>
      <w:r>
        <w:rPr>
          <w:rFonts w:hint="eastAsia" w:eastAsia="宋体"/>
          <w:highlight w:val="none"/>
          <w:lang w:val="en-US" w:eastAsia="zh-CN"/>
        </w:rPr>
        <w:t>For NR, t</w:t>
      </w:r>
      <w:r>
        <w:rPr>
          <w:highlight w:val="none"/>
          <w:lang w:eastAsia="ko-KR"/>
        </w:rPr>
        <w:t>he MAC entity may be configured with zero, one, or more SR configurations. Each SR configuration corresponds to one or more logical channels. Each logical channel may be mapped to zero or one S</w:t>
      </w:r>
      <w:r>
        <w:rPr>
          <w:lang w:eastAsia="ko-KR"/>
        </w:rPr>
        <w:t xml:space="preserve">R configuration, which is configured by RRC. </w:t>
      </w:r>
      <w:r>
        <w:rPr>
          <w:rFonts w:hint="eastAsia" w:eastAsia="宋体"/>
          <w:kern w:val="2"/>
          <w:lang w:val="en-US" w:eastAsia="zh-CN"/>
        </w:rPr>
        <w:t>V</w:t>
      </w:r>
      <w:r>
        <w:rPr>
          <w:rFonts w:eastAsia="宋体"/>
          <w:kern w:val="2"/>
          <w:lang w:eastAsia="zh-CN"/>
        </w:rPr>
        <w:t>arious NR V2X services have different characteristics and performance requirements</w:t>
      </w:r>
      <w:r>
        <w:rPr>
          <w:rFonts w:hint="eastAsia" w:eastAsia="宋体"/>
          <w:kern w:val="2"/>
          <w:lang w:val="en-US" w:eastAsia="zh-CN"/>
        </w:rPr>
        <w:t>, for example, r</w:t>
      </w:r>
      <w:r>
        <w:rPr>
          <w:rFonts w:eastAsia="宋体"/>
          <w:kern w:val="2"/>
          <w:lang w:eastAsia="zh-CN"/>
        </w:rPr>
        <w:t>elatively loose performance requirements are needed</w:t>
      </w:r>
      <w:r>
        <w:rPr>
          <w:rFonts w:hint="eastAsia" w:eastAsia="宋体"/>
          <w:kern w:val="2"/>
          <w:lang w:val="en-US" w:eastAsia="zh-CN"/>
        </w:rPr>
        <w:t xml:space="preserve"> f</w:t>
      </w:r>
      <w:r>
        <w:rPr>
          <w:rFonts w:eastAsia="宋体"/>
          <w:kern w:val="2"/>
          <w:lang w:eastAsia="zh-CN"/>
        </w:rPr>
        <w:t>or some NR V2X services</w:t>
      </w:r>
      <w:r>
        <w:rPr>
          <w:rFonts w:hint="eastAsia" w:eastAsia="宋体"/>
          <w:kern w:val="2"/>
          <w:lang w:val="en-US" w:eastAsia="zh-CN"/>
        </w:rPr>
        <w:t xml:space="preserve"> while</w:t>
      </w:r>
      <w:r>
        <w:rPr>
          <w:rFonts w:eastAsia="宋体"/>
          <w:kern w:val="2"/>
          <w:lang w:eastAsia="zh-CN"/>
        </w:rPr>
        <w:t xml:space="preserve"> the stringent  performance requirements </w:t>
      </w:r>
      <w:r>
        <w:rPr>
          <w:rFonts w:hint="eastAsia" w:eastAsia="宋体"/>
          <w:kern w:val="2"/>
          <w:lang w:val="en-US" w:eastAsia="zh-CN"/>
        </w:rPr>
        <w:t xml:space="preserve">are needed for other </w:t>
      </w:r>
      <w:r>
        <w:rPr>
          <w:rFonts w:eastAsia="宋体"/>
          <w:kern w:val="2"/>
          <w:lang w:eastAsia="zh-CN"/>
        </w:rPr>
        <w:t xml:space="preserve"> NR V2X services</w:t>
      </w:r>
      <w:r>
        <w:rPr>
          <w:rFonts w:hint="eastAsia" w:eastAsia="宋体"/>
          <w:kern w:val="2"/>
          <w:lang w:val="en-US" w:eastAsia="zh-CN"/>
        </w:rPr>
        <w:t xml:space="preserve"> such as </w:t>
      </w:r>
      <w:r>
        <w:rPr>
          <w:rFonts w:eastAsia="宋体"/>
          <w:kern w:val="2"/>
          <w:lang w:eastAsia="zh-CN"/>
        </w:rPr>
        <w:t>emergency trajectory alignment for advanced driving</w:t>
      </w:r>
      <w:r>
        <w:rPr>
          <w:rFonts w:hint="eastAsia" w:eastAsia="宋体"/>
          <w:kern w:val="2"/>
          <w:lang w:val="en-US" w:eastAsia="zh-CN"/>
        </w:rPr>
        <w:t xml:space="preserve">. </w:t>
      </w:r>
      <w:r>
        <w:rPr>
          <w:rFonts w:eastAsia="宋体"/>
          <w:kern w:val="2"/>
          <w:lang w:eastAsia="zh-CN"/>
        </w:rPr>
        <w:t>This</w:t>
      </w:r>
      <w:r>
        <w:rPr>
          <w:rFonts w:hint="eastAsia" w:eastAsia="宋体"/>
          <w:kern w:val="2"/>
          <w:lang w:eastAsia="zh-CN"/>
        </w:rPr>
        <w:t xml:space="preserve"> is quite</w:t>
      </w:r>
      <w:r>
        <w:rPr>
          <w:rFonts w:eastAsia="宋体"/>
          <w:kern w:val="2"/>
          <w:lang w:eastAsia="zh-CN"/>
        </w:rPr>
        <w:t xml:space="preserve"> similar with the </w:t>
      </w:r>
      <w:r>
        <w:rPr>
          <w:rFonts w:hint="eastAsia" w:eastAsia="宋体"/>
          <w:kern w:val="2"/>
          <w:lang w:eastAsia="zh-CN"/>
        </w:rPr>
        <w:t xml:space="preserve">case in </w:t>
      </w:r>
      <w:r>
        <w:rPr>
          <w:rFonts w:eastAsia="宋体"/>
          <w:kern w:val="2"/>
          <w:lang w:eastAsia="zh-CN"/>
        </w:rPr>
        <w:t>NR Uu</w:t>
      </w:r>
      <w:r>
        <w:rPr>
          <w:rFonts w:hint="eastAsia" w:eastAsia="宋体"/>
          <w:kern w:val="2"/>
          <w:lang w:eastAsia="zh-CN"/>
        </w:rPr>
        <w:t xml:space="preserve"> </w:t>
      </w:r>
      <w:r>
        <w:rPr>
          <w:rFonts w:hint="eastAsia" w:eastAsia="宋体"/>
          <w:lang w:eastAsia="zh-CN"/>
        </w:rPr>
        <w:t xml:space="preserve">where both the eMBB with relatively loose </w:t>
      </w:r>
      <w:r>
        <w:rPr>
          <w:rFonts w:eastAsia="宋体"/>
          <w:lang w:eastAsia="zh-CN"/>
        </w:rPr>
        <w:t>requirements</w:t>
      </w:r>
      <w:r>
        <w:rPr>
          <w:rFonts w:hint="eastAsia" w:eastAsia="宋体"/>
          <w:lang w:eastAsia="zh-CN"/>
        </w:rPr>
        <w:t xml:space="preserve"> and URLLC services with </w:t>
      </w:r>
      <w:r>
        <w:rPr>
          <w:rFonts w:eastAsia="宋体"/>
          <w:kern w:val="2"/>
          <w:lang w:eastAsia="zh-CN"/>
        </w:rPr>
        <w:t xml:space="preserve">stringent </w:t>
      </w:r>
      <w:r>
        <w:rPr>
          <w:rFonts w:hint="eastAsia" w:eastAsia="宋体"/>
          <w:lang w:eastAsia="zh-CN"/>
        </w:rPr>
        <w:t xml:space="preserve"> </w:t>
      </w:r>
      <w:r>
        <w:rPr>
          <w:rFonts w:eastAsia="宋体"/>
          <w:lang w:eastAsia="zh-CN"/>
        </w:rPr>
        <w:t>requirements</w:t>
      </w:r>
      <w:r>
        <w:rPr>
          <w:rFonts w:hint="eastAsia" w:eastAsia="宋体"/>
          <w:lang w:eastAsia="zh-CN"/>
        </w:rPr>
        <w:t xml:space="preserve"> are supported</w:t>
      </w:r>
      <w:r>
        <w:rPr>
          <w:rFonts w:eastAsia="宋体"/>
          <w:kern w:val="2"/>
          <w:lang w:eastAsia="zh-CN"/>
        </w:rPr>
        <w:t>.</w:t>
      </w:r>
      <w:r>
        <w:rPr>
          <w:rFonts w:hint="eastAsia" w:eastAsia="宋体"/>
          <w:kern w:val="2"/>
          <w:lang w:val="en-US" w:eastAsia="zh-CN"/>
        </w:rPr>
        <w:t xml:space="preserve"> </w:t>
      </w:r>
      <w:r>
        <w:rPr>
          <w:rFonts w:hint="eastAsia" w:eastAsia="宋体"/>
          <w:kern w:val="2"/>
          <w:lang w:eastAsia="zh-CN"/>
        </w:rPr>
        <w:t xml:space="preserve"> </w:t>
      </w:r>
      <w:r>
        <w:rPr>
          <w:rFonts w:hint="eastAsia" w:eastAsia="宋体"/>
          <w:kern w:val="2"/>
          <w:lang w:val="en-US" w:eastAsia="zh-CN"/>
        </w:rPr>
        <w:t>T</w:t>
      </w:r>
      <w:r>
        <w:rPr>
          <w:rFonts w:hint="eastAsia" w:eastAsia="宋体"/>
          <w:kern w:val="2"/>
          <w:lang w:eastAsia="zh-CN"/>
        </w:rPr>
        <w:t xml:space="preserve">herefore, RAN2 may also consider to introduce/reuse the </w:t>
      </w:r>
      <w:r>
        <w:rPr>
          <w:rFonts w:eastAsia="宋体"/>
          <w:kern w:val="2"/>
          <w:lang w:eastAsia="zh-CN"/>
        </w:rPr>
        <w:t>multiple SR configurations</w:t>
      </w:r>
      <w:r>
        <w:rPr>
          <w:rFonts w:hint="eastAsia" w:eastAsia="宋体"/>
          <w:kern w:val="2"/>
          <w:lang w:eastAsia="zh-CN"/>
        </w:rPr>
        <w:t xml:space="preserve"> to support the </w:t>
      </w:r>
      <w:r>
        <w:rPr>
          <w:rFonts w:eastAsia="宋体"/>
          <w:kern w:val="2"/>
          <w:lang w:eastAsia="zh-CN"/>
        </w:rPr>
        <w:t>different</w:t>
      </w:r>
      <w:r>
        <w:rPr>
          <w:rFonts w:hint="eastAsia" w:eastAsia="宋体"/>
          <w:kern w:val="2"/>
          <w:lang w:eastAsia="zh-CN"/>
        </w:rPr>
        <w:t xml:space="preserve"> advanced V2X services</w:t>
      </w:r>
      <w:r>
        <w:rPr>
          <w:rFonts w:eastAsia="宋体"/>
          <w:kern w:val="2"/>
          <w:lang w:eastAsia="zh-CN"/>
        </w:rPr>
        <w:t>.</w:t>
      </w:r>
      <w:r>
        <w:rPr>
          <w:rFonts w:hint="eastAsia" w:eastAsia="宋体"/>
          <w:kern w:val="2"/>
          <w:lang w:val="en-US" w:eastAsia="zh-CN"/>
        </w:rPr>
        <w:t xml:space="preserve"> </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eastAsiaTheme="minorEastAsia"/>
          <w:kern w:val="2"/>
          <w:lang w:val="en-US" w:eastAsia="zh-CN"/>
        </w:rPr>
      </w:pPr>
      <w:r>
        <w:rPr>
          <w:rFonts w:hint="eastAsia" w:eastAsia="宋体"/>
          <w:kern w:val="2"/>
          <w:lang w:val="en-US" w:eastAsia="zh-CN"/>
        </w:rPr>
        <w:t xml:space="preserve">Considering the gNB may not know the QoS of each sidelink logical channel if the establishment and configuration of sidelink logical channel is performed by the UE on it own, it makes no sense to map different sidelink </w:t>
      </w:r>
      <w:r>
        <w:rPr>
          <w:lang w:eastAsia="ko-KR"/>
        </w:rPr>
        <w:t>logical channel</w:t>
      </w:r>
      <w:r>
        <w:rPr>
          <w:rFonts w:hint="eastAsia"/>
          <w:lang w:val="en-US" w:eastAsia="zh-CN"/>
        </w:rPr>
        <w:t xml:space="preserve">s to different </w:t>
      </w:r>
      <w:r>
        <w:rPr>
          <w:lang w:eastAsia="ko-KR"/>
        </w:rPr>
        <w:t>SR configuration</w:t>
      </w:r>
      <w:r>
        <w:rPr>
          <w:rFonts w:hint="eastAsia"/>
          <w:lang w:val="en-US" w:eastAsia="zh-CN"/>
        </w:rPr>
        <w:t xml:space="preserve">s. To solve this problem, there may be two options: one is to keep the gNB informed of the QoS </w:t>
      </w:r>
      <w:r>
        <w:rPr>
          <w:rFonts w:eastAsia="宋体"/>
          <w:kern w:val="2"/>
          <w:lang w:eastAsia="zh-CN"/>
        </w:rPr>
        <w:t xml:space="preserve">characteristics </w:t>
      </w:r>
      <w:r>
        <w:rPr>
          <w:rFonts w:hint="eastAsia" w:eastAsia="宋体"/>
          <w:kern w:val="2"/>
          <w:lang w:val="en-US" w:eastAsia="zh-CN"/>
        </w:rPr>
        <w:t xml:space="preserve">of each sidelink logical channel such that the gNB configure the SR resource corresponds to sidelink logical channel for the UE, the other one is to map </w:t>
      </w:r>
      <w:r>
        <w:rPr>
          <w:rFonts w:hint="eastAsia"/>
          <w:lang w:val="en-US" w:eastAsia="zh-CN"/>
        </w:rPr>
        <w:t xml:space="preserve">different </w:t>
      </w:r>
      <w:r>
        <w:rPr>
          <w:lang w:eastAsia="ko-KR"/>
        </w:rPr>
        <w:t>SR configuration</w:t>
      </w:r>
      <w:r>
        <w:rPr>
          <w:rFonts w:hint="eastAsia"/>
          <w:lang w:val="en-US" w:eastAsia="zh-CN"/>
        </w:rPr>
        <w:t>s to different LCG ID with different Qos.</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eastAsia="宋体"/>
          <w:b/>
          <w:bCs/>
          <w:lang w:val="en-US" w:eastAsia="zh-CN"/>
        </w:rPr>
      </w:pPr>
      <w:r>
        <w:rPr>
          <w:rFonts w:hint="eastAsia" w:eastAsia="宋体"/>
          <w:b/>
          <w:bCs/>
          <w:lang w:val="en-US" w:eastAsia="zh-CN"/>
        </w:rPr>
        <w:t>Proposal 1: It is suggested to use multiple SR configurations for NR sidelink resource request.</w:t>
      </w:r>
    </w:p>
    <w:p>
      <w:pPr>
        <w:pStyle w:val="4"/>
        <w:rPr>
          <w:rFonts w:hint="eastAsia"/>
          <w:lang w:val="en-US" w:eastAsia="zh-CN"/>
        </w:rPr>
      </w:pPr>
      <w:r>
        <w:rPr>
          <w:rFonts w:hint="eastAsia"/>
          <w:lang w:val="en-US" w:eastAsia="zh-CN"/>
        </w:rPr>
        <w:t>BSR</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eastAsia="宋体"/>
          <w:kern w:val="2"/>
          <w:lang w:val="en-US" w:eastAsia="zh-CN"/>
        </w:rPr>
      </w:pPr>
      <w:r>
        <w:rPr>
          <w:rFonts w:hint="eastAsia" w:eastAsia="宋体"/>
          <w:kern w:val="2"/>
          <w:lang w:val="en-US" w:eastAsia="zh-CN"/>
        </w:rPr>
        <w:t xml:space="preserve">With regard to BSR, it is natural to </w:t>
      </w:r>
      <w:r>
        <w:rPr>
          <w:rFonts w:hint="eastAsia" w:eastAsia="宋体"/>
          <w:kern w:val="2"/>
          <w:lang w:eastAsia="zh-CN"/>
        </w:rPr>
        <w:t xml:space="preserve">take the LTE </w:t>
      </w:r>
      <w:r>
        <w:rPr>
          <w:rFonts w:hint="eastAsia" w:eastAsia="宋体"/>
          <w:kern w:val="2"/>
          <w:lang w:val="en-US" w:eastAsia="zh-CN"/>
        </w:rPr>
        <w:t xml:space="preserve">V2X </w:t>
      </w:r>
      <w:r>
        <w:rPr>
          <w:rFonts w:hint="eastAsia" w:eastAsia="宋体"/>
          <w:kern w:val="2"/>
          <w:lang w:eastAsia="zh-CN"/>
        </w:rPr>
        <w:t>BSR as baseline</w:t>
      </w:r>
      <w:r>
        <w:rPr>
          <w:rFonts w:hint="eastAsia" w:eastAsia="宋体"/>
          <w:kern w:val="2"/>
          <w:lang w:val="en-US" w:eastAsia="zh-CN"/>
        </w:rPr>
        <w:t xml:space="preserve"> for NR sidelink BSR. However, according to</w:t>
      </w:r>
      <w:r>
        <w:rPr>
          <w:rFonts w:hint="eastAsia" w:eastAsia="宋体"/>
          <w:kern w:val="2"/>
          <w:lang w:eastAsia="zh-CN"/>
        </w:rPr>
        <w:t xml:space="preserve"> current NR specification, </w:t>
      </w:r>
      <w:r>
        <w:rPr>
          <w:rFonts w:hint="eastAsia" w:eastAsia="宋体"/>
          <w:kern w:val="2"/>
          <w:lang w:val="en-US" w:eastAsia="zh-CN"/>
        </w:rPr>
        <w:t>t</w:t>
      </w:r>
      <w:r>
        <w:rPr>
          <w:rFonts w:hint="eastAsia" w:eastAsia="宋体"/>
          <w:kern w:val="2"/>
          <w:lang w:eastAsia="zh-CN"/>
        </w:rPr>
        <w:t>he maximum number of LCGs is eight</w:t>
      </w:r>
      <w:r>
        <w:rPr>
          <w:rFonts w:hint="eastAsia" w:eastAsia="宋体"/>
          <w:kern w:val="2"/>
          <w:lang w:val="en-US" w:eastAsia="zh-CN"/>
        </w:rPr>
        <w:t xml:space="preserve"> while the </w:t>
      </w:r>
      <w:r>
        <w:rPr>
          <w:rFonts w:hint="eastAsia" w:eastAsia="宋体"/>
          <w:kern w:val="2"/>
          <w:lang w:eastAsia="zh-CN"/>
        </w:rPr>
        <w:t xml:space="preserve">maximum number of LCGs is </w:t>
      </w:r>
      <w:r>
        <w:rPr>
          <w:rFonts w:hint="eastAsia" w:eastAsia="宋体"/>
          <w:kern w:val="2"/>
          <w:lang w:val="en-US" w:eastAsia="zh-CN"/>
        </w:rPr>
        <w:t>four in LTE V2X</w:t>
      </w:r>
      <w:r>
        <w:rPr>
          <w:rFonts w:hint="eastAsia" w:eastAsia="宋体"/>
          <w:kern w:val="2"/>
          <w:lang w:eastAsia="zh-CN"/>
        </w:rPr>
        <w:t>. So in order to keep align with the NR Uu</w:t>
      </w:r>
      <w:r>
        <w:rPr>
          <w:rFonts w:hint="eastAsia" w:eastAsia="宋体"/>
          <w:kern w:val="2"/>
          <w:lang w:val="en-US" w:eastAsia="zh-CN"/>
        </w:rPr>
        <w:t xml:space="preserve">, </w:t>
      </w:r>
      <w:r>
        <w:rPr>
          <w:rFonts w:hint="eastAsia" w:eastAsia="宋体"/>
          <w:kern w:val="2"/>
          <w:lang w:eastAsia="zh-CN"/>
        </w:rPr>
        <w:t xml:space="preserve">it is suggested to expand the number of NR </w:t>
      </w:r>
      <w:r>
        <w:rPr>
          <w:rFonts w:hint="eastAsia" w:eastAsia="宋体"/>
          <w:kern w:val="2"/>
          <w:lang w:val="en-US" w:eastAsia="zh-CN"/>
        </w:rPr>
        <w:t xml:space="preserve">V2X </w:t>
      </w:r>
      <w:r>
        <w:rPr>
          <w:rFonts w:hint="eastAsia" w:eastAsia="宋体"/>
          <w:kern w:val="2"/>
          <w:lang w:eastAsia="zh-CN"/>
        </w:rPr>
        <w:t>LCG to eight.</w:t>
      </w:r>
      <w:r>
        <w:rPr>
          <w:rFonts w:hint="eastAsia" w:eastAsia="宋体"/>
          <w:kern w:val="2"/>
          <w:lang w:val="en-US" w:eastAsia="zh-CN"/>
        </w:rPr>
        <w:t xml:space="preserve"> So three bits are required to indicate the LCGID value in BSR.</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eastAsia="宋体"/>
          <w:kern w:val="2"/>
          <w:lang w:eastAsia="zh-CN"/>
        </w:rPr>
      </w:pPr>
      <w:r>
        <w:rPr>
          <w:rFonts w:hint="eastAsia" w:eastAsia="宋体"/>
          <w:kern w:val="2"/>
          <w:lang w:eastAsia="zh-CN"/>
        </w:rPr>
        <w:t>In addition</w:t>
      </w:r>
      <w:r>
        <w:rPr>
          <w:rFonts w:hint="eastAsia" w:eastAsia="宋体"/>
          <w:kern w:val="2"/>
          <w:lang w:val="en-US" w:eastAsia="zh-CN"/>
        </w:rPr>
        <w:t xml:space="preserve">, </w:t>
      </w:r>
      <w:r>
        <w:rPr>
          <w:rFonts w:hint="eastAsia" w:eastAsia="宋体"/>
          <w:kern w:val="2"/>
          <w:lang w:eastAsia="zh-CN"/>
        </w:rPr>
        <w:t>each LCG is associated with a PPPP</w:t>
      </w:r>
      <w:r>
        <w:rPr>
          <w:rFonts w:hint="eastAsia" w:eastAsia="宋体"/>
          <w:kern w:val="2"/>
          <w:lang w:val="en-US" w:eastAsia="zh-CN"/>
        </w:rPr>
        <w:t>/PPPR</w:t>
      </w:r>
      <w:r>
        <w:rPr>
          <w:rFonts w:hint="eastAsia" w:eastAsia="宋体"/>
          <w:kern w:val="2"/>
          <w:lang w:eastAsia="zh-CN"/>
        </w:rPr>
        <w:t xml:space="preserve"> lis</w:t>
      </w:r>
      <w:r>
        <w:rPr>
          <w:rFonts w:hint="eastAsia" w:eastAsia="宋体"/>
          <w:kern w:val="2"/>
          <w:lang w:val="en-US" w:eastAsia="zh-CN"/>
        </w:rPr>
        <w:t>t in LTE V2X. However</w:t>
      </w:r>
      <w:r>
        <w:rPr>
          <w:rFonts w:hint="eastAsia" w:eastAsia="宋体"/>
          <w:kern w:val="2"/>
          <w:lang w:eastAsia="zh-CN"/>
        </w:rPr>
        <w:t>, PPPP</w:t>
      </w:r>
      <w:r>
        <w:rPr>
          <w:rFonts w:hint="eastAsia" w:eastAsia="宋体"/>
          <w:kern w:val="2"/>
          <w:lang w:val="en-US" w:eastAsia="zh-CN"/>
        </w:rPr>
        <w:t>/PPPR</w:t>
      </w:r>
      <w:r>
        <w:rPr>
          <w:rFonts w:hint="eastAsia" w:eastAsia="宋体"/>
          <w:kern w:val="2"/>
          <w:lang w:eastAsia="zh-CN"/>
        </w:rPr>
        <w:t xml:space="preserve"> seems too simple to reflect the Qos characters of the NR V2X traffic</w:t>
      </w:r>
      <w:r>
        <w:rPr>
          <w:rFonts w:hint="eastAsia" w:eastAsia="宋体"/>
          <w:kern w:val="2"/>
          <w:lang w:val="en-US" w:eastAsia="zh-CN"/>
        </w:rPr>
        <w:t>.</w:t>
      </w:r>
      <w:r>
        <w:rPr>
          <w:rFonts w:hint="eastAsia" w:eastAsia="宋体"/>
          <w:kern w:val="2"/>
          <w:lang w:eastAsia="zh-CN"/>
        </w:rPr>
        <w:t xml:space="preserve"> </w:t>
      </w:r>
      <w:r>
        <w:rPr>
          <w:rFonts w:hint="eastAsia"/>
          <w:lang w:val="en-US" w:eastAsia="zh-CN"/>
        </w:rPr>
        <w:t xml:space="preserve">On the other hand, it was agreed that </w:t>
      </w:r>
      <w:r>
        <w:rPr>
          <w:rFonts w:hint="eastAsia" w:eastAsia="宋体"/>
          <w:kern w:val="2"/>
          <w:lang w:val="en-US" w:eastAsia="zh-CN"/>
        </w:rPr>
        <w:t>s</w:t>
      </w:r>
      <w:r>
        <w:rPr>
          <w:rFonts w:hint="eastAsia" w:eastAsia="宋体"/>
          <w:kern w:val="2"/>
          <w:lang w:eastAsia="zh-CN"/>
        </w:rPr>
        <w:t>tudy technical solutions for QoS management of the radio interface (including both Uu and sidelink) used for V2X operations based on input from SA2</w:t>
      </w:r>
      <w:r>
        <w:rPr>
          <w:rFonts w:hint="eastAsia" w:eastAsia="宋体"/>
          <w:kern w:val="2"/>
          <w:lang w:val="en-US" w:eastAsia="zh-CN"/>
        </w:rPr>
        <w:t xml:space="preserve">, </w:t>
      </w:r>
      <w:r>
        <w:rPr>
          <w:rFonts w:hint="eastAsia" w:eastAsia="宋体"/>
          <w:kern w:val="2"/>
          <w:lang w:eastAsia="zh-CN"/>
        </w:rPr>
        <w:t>so the PPPP</w:t>
      </w:r>
      <w:r>
        <w:rPr>
          <w:rFonts w:hint="eastAsia" w:eastAsia="宋体"/>
          <w:kern w:val="2"/>
          <w:lang w:val="en-US" w:eastAsia="zh-CN"/>
        </w:rPr>
        <w:t>/PPPR</w:t>
      </w:r>
      <w:r>
        <w:rPr>
          <w:rFonts w:hint="eastAsia" w:eastAsia="宋体"/>
          <w:kern w:val="2"/>
          <w:lang w:eastAsia="zh-CN"/>
        </w:rPr>
        <w:t xml:space="preserve"> may be replaced by other Qo</w:t>
      </w:r>
      <w:r>
        <w:rPr>
          <w:rFonts w:hint="eastAsia" w:eastAsia="宋体"/>
          <w:kern w:val="2"/>
          <w:lang w:val="en-US" w:eastAsia="zh-CN"/>
        </w:rPr>
        <w:t>S</w:t>
      </w:r>
      <w:r>
        <w:rPr>
          <w:rFonts w:hint="eastAsia" w:eastAsia="宋体"/>
          <w:kern w:val="2"/>
          <w:lang w:eastAsia="zh-CN"/>
        </w:rPr>
        <w:t xml:space="preserve"> parameter such as 5QI</w:t>
      </w:r>
      <w:r>
        <w:rPr>
          <w:rFonts w:hint="eastAsia" w:eastAsia="宋体"/>
          <w:kern w:val="2"/>
          <w:lang w:val="en-US" w:eastAsia="zh-CN"/>
        </w:rPr>
        <w:t xml:space="preserve"> or QFI</w:t>
      </w:r>
      <w:r>
        <w:rPr>
          <w:rFonts w:hint="eastAsia" w:eastAsia="宋体"/>
          <w:kern w:val="2"/>
          <w:lang w:eastAsia="zh-CN"/>
        </w:rPr>
        <w:t xml:space="preserve">. </w:t>
      </w:r>
      <w:r>
        <w:rPr>
          <w:rFonts w:hint="eastAsia" w:eastAsia="宋体"/>
          <w:kern w:val="2"/>
          <w:lang w:val="en-US" w:eastAsia="zh-CN"/>
        </w:rPr>
        <w:t xml:space="preserve">Therefore, </w:t>
      </w:r>
      <w:r>
        <w:rPr>
          <w:rFonts w:hint="eastAsia" w:eastAsia="宋体"/>
          <w:kern w:val="2"/>
          <w:lang w:eastAsia="zh-CN"/>
        </w:rPr>
        <w:t>RAN2 can consider to configure the relationship between NR V2X</w:t>
      </w:r>
      <w:r>
        <w:rPr>
          <w:rFonts w:hint="eastAsia" w:eastAsia="宋体"/>
          <w:kern w:val="2"/>
          <w:lang w:val="en-US" w:eastAsia="zh-CN"/>
        </w:rPr>
        <w:t xml:space="preserve"> </w:t>
      </w:r>
      <w:r>
        <w:rPr>
          <w:rFonts w:hint="eastAsia" w:eastAsia="宋体"/>
          <w:kern w:val="2"/>
          <w:lang w:eastAsia="zh-CN"/>
        </w:rPr>
        <w:t>LCG and other Qo</w:t>
      </w:r>
      <w:r>
        <w:rPr>
          <w:rFonts w:hint="eastAsia" w:eastAsia="宋体"/>
          <w:kern w:val="2"/>
          <w:lang w:val="en-US" w:eastAsia="zh-CN"/>
        </w:rPr>
        <w:t>S</w:t>
      </w:r>
      <w:r>
        <w:rPr>
          <w:rFonts w:hint="eastAsia" w:eastAsia="宋体"/>
          <w:kern w:val="2"/>
          <w:lang w:eastAsia="zh-CN"/>
        </w:rPr>
        <w:t xml:space="preserve"> parameter</w:t>
      </w:r>
      <w:r>
        <w:rPr>
          <w:rFonts w:hint="eastAsia" w:eastAsia="宋体"/>
          <w:kern w:val="2"/>
          <w:lang w:val="en-US" w:eastAsia="zh-CN"/>
        </w:rPr>
        <w:t xml:space="preserve"> according to the progress of NR V2X QoS </w:t>
      </w:r>
      <w:r>
        <w:rPr>
          <w:rFonts w:hint="eastAsia" w:eastAsia="宋体"/>
          <w:kern w:val="2"/>
          <w:lang w:eastAsia="zh-CN"/>
        </w:rPr>
        <w:t xml:space="preserve">management </w:t>
      </w:r>
      <w:r>
        <w:rPr>
          <w:rFonts w:hint="eastAsia" w:eastAsia="宋体"/>
          <w:kern w:val="2"/>
          <w:lang w:val="en-US" w:eastAsia="zh-CN"/>
        </w:rPr>
        <w:t>.</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eastAsia="宋体"/>
          <w:b/>
          <w:bCs/>
          <w:kern w:val="2"/>
          <w:lang w:eastAsia="zh-CN"/>
        </w:rPr>
      </w:pPr>
      <w:r>
        <w:rPr>
          <w:rFonts w:hint="eastAsia" w:eastAsia="宋体"/>
          <w:b/>
          <w:bCs/>
          <w:lang w:val="en-US" w:eastAsia="zh-CN"/>
        </w:rPr>
        <w:t>Proposal 2: It is suggested</w:t>
      </w:r>
      <w:r>
        <w:rPr>
          <w:rFonts w:hint="eastAsia" w:eastAsia="宋体"/>
          <w:b/>
          <w:bCs/>
          <w:kern w:val="2"/>
          <w:lang w:eastAsia="zh-CN"/>
        </w:rPr>
        <w:t xml:space="preserve"> to expand the number of NR </w:t>
      </w:r>
      <w:r>
        <w:rPr>
          <w:rFonts w:hint="eastAsia" w:eastAsia="宋体"/>
          <w:b/>
          <w:bCs/>
          <w:kern w:val="2"/>
          <w:lang w:val="en-US" w:eastAsia="zh-CN"/>
        </w:rPr>
        <w:t xml:space="preserve">V2X </w:t>
      </w:r>
      <w:r>
        <w:rPr>
          <w:rFonts w:hint="eastAsia" w:eastAsia="宋体"/>
          <w:b/>
          <w:bCs/>
          <w:kern w:val="2"/>
          <w:lang w:eastAsia="zh-CN"/>
        </w:rPr>
        <w:t>LCG to eight.</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eastAsiaTheme="minorEastAsia"/>
          <w:kern w:val="2"/>
          <w:lang w:val="en-US" w:eastAsia="zh-CN"/>
        </w:rPr>
      </w:pPr>
      <w:r>
        <w:rPr>
          <w:rFonts w:hint="eastAsia" w:eastAsia="宋体"/>
          <w:b/>
          <w:bCs/>
          <w:kern w:val="2"/>
          <w:lang w:val="en-US" w:eastAsia="zh-CN"/>
        </w:rPr>
        <w:t xml:space="preserve">Proposal 3: </w:t>
      </w:r>
      <w:r>
        <w:rPr>
          <w:rFonts w:hint="eastAsia" w:eastAsia="宋体"/>
          <w:b/>
          <w:bCs/>
          <w:lang w:val="en-US" w:eastAsia="zh-CN"/>
        </w:rPr>
        <w:t>It is suggested</w:t>
      </w:r>
      <w:r>
        <w:rPr>
          <w:rFonts w:hint="eastAsia" w:eastAsia="宋体"/>
          <w:b/>
          <w:bCs/>
          <w:kern w:val="2"/>
          <w:lang w:val="en-US" w:eastAsia="zh-CN"/>
        </w:rPr>
        <w:t xml:space="preserve"> </w:t>
      </w:r>
      <w:r>
        <w:rPr>
          <w:rFonts w:hint="eastAsia" w:eastAsia="宋体"/>
          <w:b/>
          <w:bCs/>
          <w:kern w:val="2"/>
          <w:lang w:eastAsia="zh-CN"/>
        </w:rPr>
        <w:t xml:space="preserve">to </w:t>
      </w:r>
      <w:r>
        <w:rPr>
          <w:rFonts w:hint="eastAsia" w:eastAsia="宋体"/>
          <w:b/>
          <w:bCs/>
          <w:kern w:val="2"/>
          <w:lang w:val="en-US" w:eastAsia="zh-CN"/>
        </w:rPr>
        <w:t xml:space="preserve">study whether to </w:t>
      </w:r>
      <w:r>
        <w:rPr>
          <w:rFonts w:hint="eastAsia" w:eastAsia="宋体"/>
          <w:b/>
          <w:bCs/>
          <w:kern w:val="2"/>
          <w:lang w:eastAsia="zh-CN"/>
        </w:rPr>
        <w:t xml:space="preserve">configure the relationship between NR </w:t>
      </w:r>
      <w:r>
        <w:rPr>
          <w:rFonts w:hint="eastAsia" w:eastAsia="宋体"/>
          <w:b/>
          <w:bCs/>
          <w:kern w:val="2"/>
          <w:lang w:val="en-US" w:eastAsia="zh-CN"/>
        </w:rPr>
        <w:t xml:space="preserve">V2X </w:t>
      </w:r>
      <w:r>
        <w:rPr>
          <w:rFonts w:hint="eastAsia" w:eastAsia="宋体"/>
          <w:b/>
          <w:bCs/>
          <w:kern w:val="2"/>
          <w:lang w:eastAsia="zh-CN"/>
        </w:rPr>
        <w:t>LCG and Qo</w:t>
      </w:r>
      <w:r>
        <w:rPr>
          <w:rFonts w:hint="eastAsia" w:eastAsia="宋体"/>
          <w:b/>
          <w:bCs/>
          <w:kern w:val="2"/>
          <w:lang w:val="en-US" w:eastAsia="zh-CN"/>
        </w:rPr>
        <w:t>S</w:t>
      </w:r>
      <w:r>
        <w:rPr>
          <w:rFonts w:hint="eastAsia" w:eastAsia="宋体"/>
          <w:b/>
          <w:bCs/>
          <w:kern w:val="2"/>
          <w:lang w:eastAsia="zh-CN"/>
        </w:rPr>
        <w:t xml:space="preserve"> parameter</w:t>
      </w:r>
      <w:r>
        <w:rPr>
          <w:rFonts w:hint="eastAsia" w:eastAsia="宋体"/>
          <w:b/>
          <w:bCs/>
          <w:kern w:val="2"/>
          <w:lang w:val="en-US" w:eastAsia="zh-CN"/>
        </w:rPr>
        <w:t xml:space="preserve"> according to the progress of NR V2X QoS management.</w:t>
      </w:r>
    </w:p>
    <w:p>
      <w:pPr>
        <w:pStyle w:val="4"/>
        <w:pageBreakBefore w:val="0"/>
        <w:kinsoku/>
        <w:wordWrap/>
        <w:topLinePunct w:val="0"/>
        <w:bidi w:val="0"/>
        <w:snapToGrid/>
        <w:jc w:val="both"/>
        <w:rPr>
          <w:rFonts w:hint="eastAsia"/>
          <w:lang w:val="en-US" w:eastAsia="zh-CN"/>
        </w:rPr>
      </w:pPr>
      <w:r>
        <w:rPr>
          <w:lang w:val="en-US" w:eastAsia="zh-CN"/>
        </w:rPr>
        <w:t>Sidelink UE information</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sz w:val="20"/>
          <w:szCs w:val="20"/>
          <w:lang w:val="en-US" w:eastAsia="zh-CN"/>
        </w:rPr>
      </w:pPr>
      <w:r>
        <w:rPr>
          <w:rFonts w:hint="eastAsia"/>
          <w:sz w:val="20"/>
          <w:szCs w:val="20"/>
          <w:lang w:val="en-US" w:eastAsia="zh-CN"/>
        </w:rPr>
        <w:t>As mentioned before</w:t>
      </w:r>
      <w:r>
        <w:rPr>
          <w:sz w:val="20"/>
          <w:szCs w:val="20"/>
          <w:lang w:eastAsia="zh-CN"/>
        </w:rPr>
        <w:t xml:space="preserve">, </w:t>
      </w:r>
      <w:r>
        <w:rPr>
          <w:rFonts w:hint="eastAsia"/>
          <w:sz w:val="20"/>
          <w:szCs w:val="20"/>
          <w:lang w:val="en-US" w:eastAsia="zh-CN"/>
        </w:rPr>
        <w:t xml:space="preserve">in LTE V2X, </w:t>
      </w:r>
      <w:r>
        <w:rPr>
          <w:sz w:val="20"/>
          <w:szCs w:val="20"/>
          <w:lang w:eastAsia="zh-CN"/>
        </w:rPr>
        <w:t xml:space="preserve">a UE in RRC_CONNECTED may send sidelink UE information to inform </w:t>
      </w:r>
      <w:r>
        <w:rPr>
          <w:rFonts w:hint="eastAsia"/>
          <w:sz w:val="20"/>
          <w:szCs w:val="20"/>
          <w:lang w:eastAsia="zh-CN"/>
        </w:rPr>
        <w:t>the eNB</w:t>
      </w:r>
      <w:r>
        <w:rPr>
          <w:sz w:val="20"/>
          <w:szCs w:val="20"/>
          <w:lang w:eastAsia="zh-CN"/>
        </w:rPr>
        <w:t xml:space="preserve"> that it is interested or no longer interested to transmit and/or receive V2X sidelink communication, and provide some necessary information </w:t>
      </w:r>
      <w:r>
        <w:rPr>
          <w:rFonts w:hint="eastAsia"/>
          <w:sz w:val="20"/>
          <w:szCs w:val="20"/>
          <w:lang w:val="en-US" w:eastAsia="zh-CN"/>
        </w:rPr>
        <w:t xml:space="preserve">such as </w:t>
      </w:r>
      <w:r>
        <w:rPr>
          <w:i/>
          <w:lang w:val="en-GB"/>
        </w:rPr>
        <w:t>destinationInfoList</w:t>
      </w:r>
      <w:r>
        <w:rPr>
          <w:lang w:val="en-GB"/>
        </w:rPr>
        <w:t xml:space="preserve"> </w:t>
      </w:r>
      <w:r>
        <w:rPr>
          <w:rFonts w:hint="eastAsia"/>
          <w:sz w:val="20"/>
          <w:szCs w:val="20"/>
          <w:lang w:val="en-US" w:eastAsia="zh-CN"/>
        </w:rPr>
        <w:t>to</w:t>
      </w:r>
      <w:r>
        <w:rPr>
          <w:sz w:val="20"/>
          <w:szCs w:val="20"/>
          <w:lang w:eastAsia="zh-CN"/>
        </w:rPr>
        <w:t xml:space="preserve"> assist the eNB for </w:t>
      </w:r>
      <w:r>
        <w:rPr>
          <w:rFonts w:hint="eastAsia"/>
          <w:sz w:val="20"/>
          <w:szCs w:val="20"/>
          <w:lang w:eastAsia="zh-CN"/>
        </w:rPr>
        <w:t xml:space="preserve">the subsequent </w:t>
      </w:r>
      <w:r>
        <w:rPr>
          <w:sz w:val="20"/>
          <w:szCs w:val="20"/>
          <w:lang w:eastAsia="zh-CN"/>
        </w:rPr>
        <w:t>sidelink resource configuration</w:t>
      </w:r>
      <w:r>
        <w:rPr>
          <w:rFonts w:hint="eastAsia"/>
          <w:sz w:val="20"/>
          <w:szCs w:val="20"/>
          <w:lang w:val="en-US" w:eastAsia="zh-CN"/>
        </w:rPr>
        <w:t>.</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sz w:val="20"/>
          <w:szCs w:val="20"/>
          <w:lang w:val="en-US" w:eastAsia="zh-CN"/>
        </w:rPr>
      </w:pPr>
      <w:r>
        <w:rPr>
          <w:rFonts w:hint="eastAsia"/>
          <w:sz w:val="20"/>
          <w:szCs w:val="20"/>
          <w:lang w:val="en-US" w:eastAsia="zh-CN"/>
        </w:rPr>
        <w:t xml:space="preserve">As we know, the destination index is indexed sequentially across all the destination ID lists for different carrier frequencies reported by UE. For the PC5 CA (up to 8 carriers) in eV2X, the UE may report at most 8 interested V2X frequencies in SidelinkUEInformation message corresponding to the same destination ID, and therefore sequentially mapped to 8 destination indexes. In LTE V2X, destination index is included in Sidelink BSR and the size of destination index is limited to 4 bits. It means that the total number is no more than 16 to cover dimensions of both V2X service (in terms of destination ID) and V2X frequency.If UE supports multiple V2X services and V2X frequencies at the same time, there are concerns that the limit of 16 destination indexes will no longer be enough. When it comes to NR, it is suggested to re-consider this design. One possible solution is to change the way how SidelinkUEInformation is structured. For example, UE may report the available frequency set per destination. In this way, only one destination index is allocated for a given destination ID no matter how many frequencies are available. </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b/>
          <w:bCs/>
          <w:sz w:val="20"/>
          <w:szCs w:val="20"/>
          <w:lang w:val="en-US" w:eastAsia="zh-CN"/>
        </w:rPr>
      </w:pPr>
      <w:r>
        <w:rPr>
          <w:rFonts w:hint="eastAsia"/>
          <w:b/>
          <w:bCs/>
          <w:sz w:val="20"/>
          <w:szCs w:val="20"/>
          <w:lang w:val="en-US" w:eastAsia="zh-CN"/>
        </w:rPr>
        <w:t>Observation 1:  In LTE V2X, destination index is included in Sidelink BSR and the size of destination index is limited to 4 bits. It means that the total number is no more than 16 to cover dimensions of both V2X service (in terms of destination ID) and V2X frequency. If UE supports multiple V2X services and V2X frequencies at the same time, there are concerns that the limit of 16 destination indexes will no longer be enough.</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eastAsia="宋体"/>
          <w:b/>
          <w:bCs/>
          <w:lang w:val="en-US" w:eastAsia="zh-CN"/>
        </w:rPr>
      </w:pPr>
      <w:r>
        <w:rPr>
          <w:rFonts w:hint="eastAsia"/>
          <w:b/>
          <w:bCs/>
          <w:sz w:val="20"/>
          <w:szCs w:val="20"/>
          <w:lang w:val="en-US" w:eastAsia="zh-CN"/>
        </w:rPr>
        <w:t xml:space="preserve">Proposal 4: It is suggested to adopt a new structured in NR </w:t>
      </w:r>
      <w:r>
        <w:rPr>
          <w:rFonts w:hint="eastAsia"/>
          <w:b/>
          <w:bCs/>
          <w:i/>
          <w:iCs/>
          <w:sz w:val="20"/>
          <w:szCs w:val="20"/>
          <w:lang w:val="en-US" w:eastAsia="zh-CN"/>
        </w:rPr>
        <w:t>SidelinkUEInformation</w:t>
      </w:r>
      <w:r>
        <w:rPr>
          <w:rFonts w:hint="eastAsia"/>
          <w:b/>
          <w:bCs/>
          <w:sz w:val="20"/>
          <w:szCs w:val="20"/>
          <w:lang w:val="en-US" w:eastAsia="zh-CN"/>
        </w:rPr>
        <w:t>. For example, UE reports available frequency set per destination and only one destination index is allocated for a given destination ID .</w:t>
      </w:r>
    </w:p>
    <w:p>
      <w:pPr>
        <w:pStyle w:val="3"/>
        <w:pageBreakBefore w:val="0"/>
        <w:kinsoku/>
        <w:wordWrap/>
        <w:topLinePunct w:val="0"/>
        <w:bidi w:val="0"/>
        <w:snapToGrid/>
        <w:jc w:val="both"/>
        <w:rPr>
          <w:rFonts w:hint="default"/>
          <w:lang w:val="en-US" w:eastAsia="zh-CN"/>
        </w:rPr>
      </w:pPr>
      <w:r>
        <w:rPr>
          <w:rFonts w:hint="eastAsia"/>
          <w:lang w:val="en-US" w:eastAsia="zh-CN"/>
        </w:rPr>
        <w:t>SPS or configured grant</w:t>
      </w:r>
    </w:p>
    <w:p>
      <w:pPr>
        <w:pageBreakBefore w:val="0"/>
        <w:kinsoku/>
        <w:wordWrap/>
        <w:topLinePunct w:val="0"/>
        <w:bidi w:val="0"/>
        <w:snapToGrid/>
        <w:jc w:val="both"/>
        <w:rPr>
          <w:rFonts w:hint="eastAsia"/>
          <w:lang w:val="en-US" w:eastAsia="zh-CN"/>
        </w:rPr>
      </w:pPr>
      <w:r>
        <w:rPr>
          <w:rFonts w:hint="eastAsia"/>
          <w:lang w:val="en-US" w:eastAsia="zh-CN"/>
        </w:rPr>
        <w:t>According to TS22.886, t</w:t>
      </w:r>
      <w:r>
        <w:t xml:space="preserve">he 3GPP system shall be able to support periodic </w:t>
      </w:r>
      <w:r>
        <w:rPr>
          <w:rFonts w:hint="eastAsia"/>
          <w:lang w:val="en-US" w:eastAsia="zh-CN"/>
        </w:rPr>
        <w:t xml:space="preserve">V2X </w:t>
      </w:r>
      <w:r>
        <w:t>message transfer</w:t>
      </w:r>
      <w:r>
        <w:rPr>
          <w:rFonts w:hint="eastAsia"/>
          <w:lang w:val="en-US" w:eastAsia="zh-CN"/>
        </w:rPr>
        <w:t xml:space="preserve"> for </w:t>
      </w:r>
      <w:r>
        <w:t>UEs supporting V2X application</w:t>
      </w:r>
      <w:r>
        <w:rPr>
          <w:rFonts w:hint="eastAsia"/>
          <w:lang w:val="en-US" w:eastAsia="zh-CN"/>
        </w:rPr>
        <w:t xml:space="preserve">, so SPS or configured grant configuration shall be considered since they are benefit for periodical traffic. As we know, in LTE V2X sidelink, multiple SL SPS configurations with different periodicities can be configured by eNB and all SPS configurations can be active at the same time. On the other hand, it was agreed in last RAN1 meeting that NR supports multiple active UL configured grants in a given BWP in a given cell for Uu for advanced V2X use cases. So it is natural to support having multiple active SL SPS/configured grants in a given BWP in a given cell for sidelink. Furthermore, </w:t>
      </w:r>
      <w:r>
        <w:rPr>
          <w:rFonts w:hint="eastAsia"/>
          <w:color w:val="auto"/>
          <w:lang w:val="en-US" w:eastAsia="zh-CN"/>
        </w:rPr>
        <w:t xml:space="preserve">in </w:t>
      </w:r>
      <w:r>
        <w:rPr>
          <w:lang w:eastAsia="zh-CN"/>
        </w:rPr>
        <w:t>Rel-15 NR</w:t>
      </w:r>
      <w:r>
        <w:rPr>
          <w:rFonts w:hint="eastAsia"/>
          <w:lang w:val="en-US" w:eastAsia="zh-CN"/>
        </w:rPr>
        <w:t xml:space="preserve"> </w:t>
      </w:r>
      <w:r>
        <w:rPr>
          <w:lang w:eastAsia="zh-CN"/>
        </w:rPr>
        <w:t>specifications</w:t>
      </w:r>
      <w:r>
        <w:rPr>
          <w:rFonts w:hint="eastAsia"/>
          <w:color w:val="auto"/>
          <w:lang w:val="en-US" w:eastAsia="zh-CN"/>
        </w:rPr>
        <w:t xml:space="preserve">, </w:t>
      </w:r>
      <w:r>
        <w:t>configure</w:t>
      </w:r>
      <w:r>
        <w:rPr>
          <w:rFonts w:hint="eastAsia"/>
          <w:lang w:val="en-US" w:eastAsia="zh-CN"/>
        </w:rPr>
        <w:t>d</w:t>
      </w:r>
      <w:r>
        <w:t xml:space="preserve"> grant may either be configured via RRC (type1) or provided via the PDCCH (addressed to CS-RNTI) (type2).</w:t>
      </w:r>
      <w:r>
        <w:rPr>
          <w:rFonts w:hint="eastAsia"/>
          <w:lang w:val="en-US" w:eastAsia="zh-CN"/>
        </w:rPr>
        <w:t xml:space="preserve"> For NR V2X, it is natural to take the NR UL configured grant mechanism as the baseline. However, since the type1 </w:t>
      </w:r>
      <w:r>
        <w:t>configure</w:t>
      </w:r>
      <w:r>
        <w:rPr>
          <w:rFonts w:hint="eastAsia"/>
          <w:lang w:val="en-US" w:eastAsia="zh-CN"/>
        </w:rPr>
        <w:t>d</w:t>
      </w:r>
      <w:r>
        <w:t xml:space="preserve"> grant </w:t>
      </w:r>
      <w:r>
        <w:rPr>
          <w:rFonts w:hint="eastAsia"/>
          <w:lang w:val="en-US" w:eastAsia="zh-CN"/>
        </w:rPr>
        <w:t>mechanism cannot avoid resource collision and it is also be considered as a mode 2 resource allocation option according to the agreements in RAN1 #94 meeting. Therefore, it is suggested to deprioritize the type 1 configured grant and focus on type 2 configured grant firstly for NR V2X mode 1 resource allocation.</w:t>
      </w:r>
    </w:p>
    <w:p>
      <w:pPr>
        <w:pageBreakBefore w:val="0"/>
        <w:kinsoku/>
        <w:wordWrap/>
        <w:topLinePunct w:val="0"/>
        <w:bidi w:val="0"/>
        <w:snapToGrid/>
        <w:jc w:val="both"/>
        <w:rPr>
          <w:rFonts w:hint="eastAsia"/>
          <w:b/>
          <w:bCs/>
          <w:lang w:val="en-US" w:eastAsia="zh-CN"/>
        </w:rPr>
      </w:pPr>
      <w:r>
        <w:rPr>
          <w:rFonts w:hint="eastAsia"/>
          <w:b/>
          <w:bCs/>
          <w:lang w:val="en-US" w:eastAsia="zh-CN"/>
        </w:rPr>
        <w:t>Proposal 5: It is suggested to take the NR UL configured grant mechanism as the baseline for NR V2X.</w:t>
      </w:r>
    </w:p>
    <w:p>
      <w:pPr>
        <w:pageBreakBefore w:val="0"/>
        <w:kinsoku/>
        <w:wordWrap/>
        <w:topLinePunct w:val="0"/>
        <w:bidi w:val="0"/>
        <w:snapToGrid/>
        <w:jc w:val="both"/>
        <w:rPr>
          <w:rFonts w:hint="eastAsia"/>
          <w:b/>
          <w:bCs/>
          <w:lang w:val="en-US" w:eastAsia="zh-CN"/>
        </w:rPr>
      </w:pPr>
      <w:r>
        <w:rPr>
          <w:rFonts w:hint="eastAsia"/>
          <w:b/>
          <w:bCs/>
          <w:lang w:val="en-US" w:eastAsia="zh-CN"/>
        </w:rPr>
        <w:t>Proposal 6:It is suggested to support active multiple configured Grants.</w:t>
      </w:r>
    </w:p>
    <w:p>
      <w:pPr>
        <w:pageBreakBefore w:val="0"/>
        <w:kinsoku/>
        <w:wordWrap/>
        <w:topLinePunct w:val="0"/>
        <w:bidi w:val="0"/>
        <w:snapToGrid/>
        <w:jc w:val="both"/>
        <w:rPr>
          <w:rFonts w:hint="eastAsia"/>
          <w:b/>
          <w:bCs/>
          <w:lang w:val="en-US" w:eastAsia="zh-CN"/>
        </w:rPr>
      </w:pPr>
      <w:r>
        <w:rPr>
          <w:rFonts w:hint="eastAsia"/>
          <w:b/>
          <w:bCs/>
          <w:lang w:val="en-US" w:eastAsia="zh-CN"/>
        </w:rPr>
        <w:t>Proposal 7: It is suggested to deprioritize the type 1 configured grant and focus on type 2 configured grant firstly for NR V2X.</w:t>
      </w:r>
    </w:p>
    <w:p>
      <w:pPr>
        <w:pStyle w:val="4"/>
        <w:pageBreakBefore w:val="0"/>
        <w:kinsoku/>
        <w:wordWrap/>
        <w:topLinePunct w:val="0"/>
        <w:bidi w:val="0"/>
        <w:snapToGrid/>
        <w:jc w:val="both"/>
        <w:rPr>
          <w:rFonts w:hint="eastAsia"/>
          <w:lang w:val="en-US" w:eastAsia="zh-CN"/>
        </w:rPr>
      </w:pPr>
      <w:r>
        <w:rPr>
          <w:lang w:val="en-US" w:eastAsia="zh-CN"/>
        </w:rPr>
        <w:t>UE assistance information reporting for sidelink traffic pattern</w:t>
      </w:r>
    </w:p>
    <w:p>
      <w:pPr>
        <w:pageBreakBefore w:val="0"/>
        <w:tabs>
          <w:tab w:val="left" w:pos="426"/>
        </w:tabs>
        <w:kinsoku/>
        <w:wordWrap/>
        <w:topLinePunct w:val="0"/>
        <w:bidi w:val="0"/>
        <w:snapToGrid/>
        <w:spacing w:after="120"/>
        <w:jc w:val="both"/>
        <w:rPr>
          <w:rFonts w:hint="eastAsia" w:ascii="Arial" w:hAnsi="Arial" w:eastAsia="宋体" w:cs="Arial"/>
          <w:kern w:val="2"/>
          <w:sz w:val="20"/>
          <w:u w:val="single"/>
          <w:lang w:eastAsia="zh-CN"/>
        </w:rPr>
      </w:pPr>
      <w:r>
        <w:rPr>
          <w:rFonts w:hint="eastAsia"/>
          <w:lang w:val="en-US" w:eastAsia="zh-CN"/>
        </w:rPr>
        <w:t>In LTE, a</w:t>
      </w:r>
      <w:r>
        <w:t xml:space="preserve"> UE</w:t>
      </w:r>
      <w:r>
        <w:rPr>
          <w:rFonts w:hint="eastAsia"/>
          <w:lang w:val="en-US" w:eastAsia="zh-CN"/>
        </w:rPr>
        <w:t xml:space="preserve"> </w:t>
      </w:r>
      <w:r>
        <w:t xml:space="preserve">may </w:t>
      </w:r>
      <w:r>
        <w:rPr>
          <w:rFonts w:hint="eastAsia"/>
          <w:lang w:val="en-US" w:eastAsia="zh-CN"/>
        </w:rPr>
        <w:t xml:space="preserve">report the </w:t>
      </w:r>
      <w:r>
        <w:rPr>
          <w:lang w:eastAsia="zh-CN"/>
        </w:rPr>
        <w:t>SPS assistance information</w:t>
      </w:r>
      <w:r>
        <w:t xml:space="preserve"> </w:t>
      </w:r>
      <w:r>
        <w:rPr>
          <w:rFonts w:hint="eastAsia"/>
          <w:lang w:val="en-US" w:eastAsia="zh-CN"/>
        </w:rPr>
        <w:t>to guide eNB</w:t>
      </w:r>
      <w:r>
        <w:rPr>
          <w:rFonts w:hint="default"/>
          <w:lang w:val="en-US" w:eastAsia="zh-CN"/>
        </w:rPr>
        <w:t>’</w:t>
      </w:r>
      <w:r>
        <w:rPr>
          <w:rFonts w:hint="eastAsia"/>
          <w:lang w:val="en-US" w:eastAsia="zh-CN"/>
        </w:rPr>
        <w:t>s SL SPS configuration</w:t>
      </w:r>
      <w:r>
        <w:rPr>
          <w:lang w:eastAsia="zh-CN"/>
        </w:rPr>
        <w:t>.</w:t>
      </w:r>
      <w:r>
        <w:rPr>
          <w:rFonts w:hint="eastAsia"/>
          <w:lang w:val="en-US" w:eastAsia="zh-CN"/>
        </w:rPr>
        <w:t xml:space="preserve"> The </w:t>
      </w:r>
      <w:r>
        <w:rPr>
          <w:lang w:eastAsia="zh-CN"/>
        </w:rPr>
        <w:t>SPS assistance information</w:t>
      </w:r>
      <w:r>
        <w:rPr>
          <w:rFonts w:hint="eastAsia"/>
          <w:lang w:val="en-US" w:eastAsia="zh-CN"/>
        </w:rPr>
        <w:t xml:space="preserve"> includes the </w:t>
      </w:r>
      <w:r>
        <w:rPr>
          <w:lang w:eastAsia="en-GB"/>
        </w:rPr>
        <w:t xml:space="preserve">traffic </w:t>
      </w:r>
      <w:r>
        <w:rPr>
          <w:rFonts w:hint="eastAsia"/>
          <w:lang w:val="en-US" w:eastAsia="zh-CN"/>
        </w:rPr>
        <w:t xml:space="preserve">patterns of V2X </w:t>
      </w:r>
      <w:r>
        <w:rPr>
          <w:lang w:eastAsia="en-GB"/>
        </w:rPr>
        <w:t>(</w:t>
      </w:r>
      <w:r>
        <w:rPr>
          <w:rFonts w:hint="eastAsia"/>
          <w:lang w:val="en-US" w:eastAsia="zh-CN"/>
        </w:rPr>
        <w:t>e.g. a set of preferred expected SPS interval, timing offset with respect to subframe 0 of the SFN 0, PPPP and maximum TB size based on observed traffic pattern</w:t>
      </w:r>
      <w:r>
        <w:rPr>
          <w:rFonts w:eastAsia="宋体"/>
        </w:rPr>
        <w:t>)</w:t>
      </w:r>
      <w:r>
        <w:rPr>
          <w:rFonts w:hint="eastAsia" w:eastAsia="宋体"/>
        </w:rPr>
        <w:t xml:space="preserve">. </w:t>
      </w:r>
      <w:r>
        <w:rPr>
          <w:lang w:eastAsia="en-GB"/>
        </w:rPr>
        <w:t xml:space="preserve">In NR V2X sidelink communication, such UE </w:t>
      </w:r>
      <w:r>
        <w:rPr>
          <w:rFonts w:eastAsia="宋体"/>
        </w:rPr>
        <w:t xml:space="preserve">assistance </w:t>
      </w:r>
      <w:r>
        <w:rPr>
          <w:lang w:eastAsia="en-GB"/>
        </w:rPr>
        <w:t xml:space="preserve">information to convey traffic pattern </w:t>
      </w:r>
      <w:r>
        <w:rPr>
          <w:rFonts w:hint="eastAsia"/>
          <w:lang w:val="en-US" w:eastAsia="zh-CN"/>
        </w:rPr>
        <w:t>is</w:t>
      </w:r>
      <w:r>
        <w:rPr>
          <w:lang w:eastAsia="en-GB"/>
        </w:rPr>
        <w:t xml:space="preserve"> still needed. </w:t>
      </w:r>
    </w:p>
    <w:p>
      <w:pPr>
        <w:pageBreakBefore w:val="0"/>
        <w:kinsoku/>
        <w:wordWrap/>
        <w:topLinePunct w:val="0"/>
        <w:bidi w:val="0"/>
        <w:snapToGrid/>
        <w:jc w:val="both"/>
        <w:rPr>
          <w:rFonts w:hint="eastAsia"/>
          <w:lang w:val="en-US" w:eastAsia="zh-CN"/>
        </w:rPr>
      </w:pPr>
      <w:r>
        <w:rPr>
          <w:rFonts w:hint="eastAsia"/>
          <w:lang w:val="en-US" w:eastAsia="zh-CN"/>
        </w:rPr>
        <w:t xml:space="preserve">As we can see, for LTE V2X, PPPP and PPPR are used to indicate the QoS </w:t>
      </w:r>
      <w:r>
        <w:rPr>
          <w:rFonts w:eastAsia="宋体"/>
          <w:kern w:val="2"/>
          <w:lang w:eastAsia="zh-CN"/>
        </w:rPr>
        <w:t xml:space="preserve">characteristics </w:t>
      </w:r>
      <w:r>
        <w:rPr>
          <w:rFonts w:hint="eastAsia" w:eastAsia="宋体"/>
          <w:kern w:val="2"/>
          <w:lang w:val="en-US" w:eastAsia="zh-CN"/>
        </w:rPr>
        <w:t xml:space="preserve">of each </w:t>
      </w:r>
      <w:r>
        <w:rPr>
          <w:lang w:eastAsia="en-GB"/>
        </w:rPr>
        <w:t xml:space="preserve">sidelink </w:t>
      </w:r>
      <w:r>
        <w:rPr>
          <w:rFonts w:hint="eastAsia"/>
          <w:lang w:val="en-US" w:eastAsia="zh-CN"/>
        </w:rPr>
        <w:t xml:space="preserve">traffic. When it comes to NR V2X, only PPPP and PPPR seems too simple since there are many different traffic requirements such as </w:t>
      </w:r>
      <w:r>
        <w:rPr>
          <w:rFonts w:hint="eastAsia" w:ascii="Times New Roman" w:hAnsi="Times New Roman" w:eastAsia="宋体" w:cs="Times New Roman"/>
          <w:sz w:val="21"/>
          <w:szCs w:val="22"/>
          <w:lang w:val="en-US"/>
        </w:rPr>
        <w:t>transmission rate/data rate and communication range</w:t>
      </w:r>
      <w:r>
        <w:rPr>
          <w:rFonts w:hint="eastAsia"/>
          <w:lang w:val="en-US" w:eastAsia="zh-CN"/>
        </w:rPr>
        <w:t xml:space="preserve"> requirements. So maybe more detailed QoS indication are needed to indicate the QoS </w:t>
      </w:r>
      <w:r>
        <w:rPr>
          <w:rFonts w:eastAsia="宋体"/>
          <w:kern w:val="2"/>
          <w:lang w:eastAsia="zh-CN"/>
        </w:rPr>
        <w:t xml:space="preserve">characteristics </w:t>
      </w:r>
      <w:r>
        <w:rPr>
          <w:rFonts w:hint="eastAsia" w:eastAsia="宋体"/>
          <w:kern w:val="2"/>
          <w:lang w:val="en-US" w:eastAsia="zh-CN"/>
        </w:rPr>
        <w:t xml:space="preserve">of each periodic </w:t>
      </w:r>
      <w:r>
        <w:rPr>
          <w:lang w:eastAsia="en-GB"/>
        </w:rPr>
        <w:t xml:space="preserve">sidelink </w:t>
      </w:r>
      <w:r>
        <w:rPr>
          <w:rFonts w:hint="eastAsia"/>
          <w:lang w:val="en-US" w:eastAsia="zh-CN"/>
        </w:rPr>
        <w:t>traffic pattern.</w:t>
      </w:r>
    </w:p>
    <w:p>
      <w:pPr>
        <w:pageBreakBefore w:val="0"/>
        <w:kinsoku/>
        <w:wordWrap/>
        <w:topLinePunct w:val="0"/>
        <w:bidi w:val="0"/>
        <w:snapToGrid/>
        <w:jc w:val="both"/>
        <w:rPr>
          <w:rFonts w:hint="eastAsia"/>
          <w:lang w:val="en-US" w:eastAsia="zh-CN"/>
        </w:rPr>
      </w:pPr>
      <w:r>
        <w:rPr>
          <w:rFonts w:hint="eastAsia"/>
          <w:b/>
          <w:bCs/>
          <w:lang w:val="en-US" w:eastAsia="zh-CN"/>
        </w:rPr>
        <w:t>Proposal 8：</w:t>
      </w:r>
      <w:r>
        <w:rPr>
          <w:b/>
          <w:bCs/>
          <w:lang w:eastAsia="en-GB"/>
        </w:rPr>
        <w:t xml:space="preserve">UE </w:t>
      </w:r>
      <w:r>
        <w:rPr>
          <w:rFonts w:eastAsia="宋体"/>
          <w:b/>
          <w:bCs/>
        </w:rPr>
        <w:t xml:space="preserve">assistance </w:t>
      </w:r>
      <w:r>
        <w:rPr>
          <w:b/>
          <w:bCs/>
          <w:lang w:eastAsia="en-GB"/>
        </w:rPr>
        <w:t>information</w:t>
      </w:r>
      <w:r>
        <w:rPr>
          <w:rFonts w:hint="eastAsia"/>
          <w:b/>
          <w:bCs/>
          <w:lang w:val="en-US" w:eastAsia="zh-CN"/>
        </w:rPr>
        <w:t xml:space="preserve"> is still needed for NR V2X. RAN2 shall further study whether more information such as new QoS indication shall be carried in SPS </w:t>
      </w:r>
      <w:r>
        <w:rPr>
          <w:b/>
          <w:bCs/>
          <w:lang w:eastAsia="zh-CN"/>
        </w:rPr>
        <w:t>assistance information</w:t>
      </w:r>
      <w:r>
        <w:rPr>
          <w:rFonts w:hint="eastAsia"/>
          <w:b/>
          <w:bCs/>
          <w:lang w:val="en-US" w:eastAsia="zh-CN"/>
        </w:rPr>
        <w:t>.</w:t>
      </w:r>
    </w:p>
    <w:p>
      <w:pPr>
        <w:pStyle w:val="2"/>
        <w:pageBreakBefore w:val="0"/>
        <w:kinsoku/>
        <w:wordWrap/>
        <w:topLinePunct w:val="0"/>
        <w:bidi w:val="0"/>
        <w:snapToGrid/>
        <w:jc w:val="both"/>
      </w:pPr>
      <w:r>
        <w:t xml:space="preserve">Conclusion </w:t>
      </w:r>
    </w:p>
    <w:p>
      <w:pPr>
        <w:pageBreakBefore w:val="0"/>
        <w:kinsoku/>
        <w:wordWrap/>
        <w:topLinePunct w:val="0"/>
        <w:bidi w:val="0"/>
        <w:snapToGrid/>
        <w:jc w:val="both"/>
        <w:rPr>
          <w:rFonts w:eastAsia="宋体"/>
          <w:kern w:val="2"/>
          <w:lang w:eastAsia="zh-CN"/>
        </w:rPr>
      </w:pPr>
      <w:r>
        <w:rPr>
          <w:rFonts w:hint="eastAsia" w:eastAsia="宋体"/>
          <w:kern w:val="2"/>
          <w:lang w:eastAsia="zh-CN"/>
        </w:rPr>
        <w:t xml:space="preserve">In this contribution, </w:t>
      </w:r>
      <w:r>
        <w:rPr>
          <w:rFonts w:eastAsia="宋体"/>
          <w:kern w:val="2"/>
          <w:lang w:eastAsia="zh-CN"/>
        </w:rPr>
        <w:t xml:space="preserve">we </w:t>
      </w:r>
      <w:r>
        <w:rPr>
          <w:rFonts w:hint="eastAsia" w:eastAsia="宋体"/>
          <w:kern w:val="2"/>
          <w:lang w:eastAsia="zh-CN"/>
        </w:rPr>
        <w:t>provide</w:t>
      </w:r>
      <w:r>
        <w:rPr>
          <w:rFonts w:hint="eastAsia" w:eastAsia="宋体"/>
          <w:kern w:val="2"/>
          <w:lang w:val="en-US" w:eastAsia="zh-CN"/>
        </w:rPr>
        <w:t>d</w:t>
      </w:r>
      <w:r>
        <w:rPr>
          <w:rFonts w:hint="eastAsia" w:eastAsia="宋体"/>
          <w:kern w:val="2"/>
          <w:lang w:eastAsia="zh-CN"/>
        </w:rPr>
        <w:t xml:space="preserve"> analyses on </w:t>
      </w:r>
      <w:r>
        <w:rPr>
          <w:rFonts w:eastAsia="宋体"/>
          <w:kern w:val="2"/>
          <w:lang w:eastAsia="zh-CN"/>
        </w:rPr>
        <w:t>the</w:t>
      </w:r>
      <w:r>
        <w:rPr>
          <w:rFonts w:hint="eastAsia" w:eastAsia="宋体"/>
          <w:kern w:val="2"/>
          <w:lang w:eastAsia="zh-CN"/>
        </w:rPr>
        <w:t xml:space="preserve"> </w:t>
      </w:r>
      <w:r>
        <w:rPr>
          <w:rFonts w:hint="eastAsia" w:eastAsia="宋体"/>
          <w:kern w:val="2"/>
          <w:lang w:val="en-US" w:eastAsia="zh-CN"/>
        </w:rPr>
        <w:t xml:space="preserve">mode 1 </w:t>
      </w:r>
      <w:r>
        <w:rPr>
          <w:rFonts w:hint="eastAsia" w:eastAsia="宋体"/>
          <w:kern w:val="2"/>
          <w:sz w:val="20"/>
          <w:szCs w:val="20"/>
          <w:lang w:val="en-US" w:eastAsia="zh-CN"/>
        </w:rPr>
        <w:t xml:space="preserve">sidelink resource allocation </w:t>
      </w:r>
      <w:r>
        <w:rPr>
          <w:rFonts w:hint="eastAsia" w:eastAsia="宋体"/>
          <w:kern w:val="2"/>
          <w:lang w:val="en-US" w:eastAsia="zh-CN"/>
        </w:rPr>
        <w:t xml:space="preserve">related issue </w:t>
      </w:r>
      <w:r>
        <w:rPr>
          <w:rFonts w:eastAsia="宋体"/>
          <w:kern w:val="2"/>
          <w:lang w:eastAsia="zh-CN"/>
        </w:rPr>
        <w:t xml:space="preserve">for NR, </w:t>
      </w:r>
      <w:r>
        <w:rPr>
          <w:rFonts w:hint="eastAsia" w:eastAsia="宋体"/>
          <w:kern w:val="2"/>
          <w:lang w:eastAsia="zh-CN"/>
        </w:rPr>
        <w:t>and identif</w:t>
      </w:r>
      <w:r>
        <w:rPr>
          <w:rFonts w:hint="eastAsia" w:eastAsia="宋体"/>
          <w:kern w:val="2"/>
          <w:lang w:val="en-US" w:eastAsia="zh-CN"/>
        </w:rPr>
        <w:t>ied</w:t>
      </w:r>
      <w:r>
        <w:rPr>
          <w:rFonts w:hint="eastAsia" w:eastAsia="宋体"/>
          <w:kern w:val="2"/>
          <w:lang w:eastAsia="zh-CN"/>
        </w:rPr>
        <w:t xml:space="preserve"> the </w:t>
      </w:r>
      <w:r>
        <w:rPr>
          <w:rFonts w:eastAsia="宋体"/>
          <w:kern w:val="2"/>
          <w:lang w:eastAsia="zh-CN"/>
        </w:rPr>
        <w:t>potential</w:t>
      </w:r>
      <w:r>
        <w:rPr>
          <w:rFonts w:hint="eastAsia" w:eastAsia="宋体"/>
          <w:kern w:val="2"/>
          <w:lang w:eastAsia="zh-CN"/>
        </w:rPr>
        <w:t xml:space="preserve"> standard impacts that may need to be studied</w:t>
      </w:r>
      <w:r>
        <w:rPr>
          <w:rFonts w:eastAsia="宋体"/>
          <w:kern w:val="2"/>
          <w:lang w:eastAsia="zh-CN"/>
        </w:rPr>
        <w:t>.</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eastAsia="宋体"/>
          <w:b/>
          <w:bCs/>
          <w:lang w:val="en-US" w:eastAsia="zh-CN"/>
        </w:rPr>
      </w:pPr>
      <w:r>
        <w:rPr>
          <w:rFonts w:hint="eastAsia" w:eastAsia="宋体"/>
          <w:b/>
          <w:bCs/>
          <w:lang w:val="en-US" w:eastAsia="zh-CN"/>
        </w:rPr>
        <w:t>Proposal 1: It is suggested to use multiple SR configurations for NR sidelink resource request.</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eastAsia="宋体"/>
          <w:b/>
          <w:bCs/>
          <w:kern w:val="2"/>
          <w:lang w:eastAsia="zh-CN"/>
        </w:rPr>
      </w:pPr>
      <w:r>
        <w:rPr>
          <w:rFonts w:hint="eastAsia" w:eastAsia="宋体"/>
          <w:b/>
          <w:bCs/>
          <w:lang w:val="en-US" w:eastAsia="zh-CN"/>
        </w:rPr>
        <w:t>Proposal 2: It is suggested</w:t>
      </w:r>
      <w:r>
        <w:rPr>
          <w:rFonts w:hint="eastAsia" w:eastAsia="宋体"/>
          <w:b/>
          <w:bCs/>
          <w:kern w:val="2"/>
          <w:lang w:eastAsia="zh-CN"/>
        </w:rPr>
        <w:t xml:space="preserve"> to expand the number of NR </w:t>
      </w:r>
      <w:r>
        <w:rPr>
          <w:rFonts w:hint="eastAsia" w:eastAsia="宋体"/>
          <w:b/>
          <w:bCs/>
          <w:kern w:val="2"/>
          <w:lang w:val="en-US" w:eastAsia="zh-CN"/>
        </w:rPr>
        <w:t xml:space="preserve">V2X </w:t>
      </w:r>
      <w:r>
        <w:rPr>
          <w:rFonts w:hint="eastAsia" w:eastAsia="宋体"/>
          <w:b/>
          <w:bCs/>
          <w:kern w:val="2"/>
          <w:lang w:eastAsia="zh-CN"/>
        </w:rPr>
        <w:t>LCG to eight.</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eastAsiaTheme="minorEastAsia"/>
          <w:kern w:val="2"/>
          <w:lang w:val="en-US" w:eastAsia="zh-CN"/>
        </w:rPr>
      </w:pPr>
      <w:r>
        <w:rPr>
          <w:rFonts w:hint="eastAsia" w:eastAsia="宋体"/>
          <w:b/>
          <w:bCs/>
          <w:kern w:val="2"/>
          <w:lang w:val="en-US" w:eastAsia="zh-CN"/>
        </w:rPr>
        <w:t xml:space="preserve">Proposal 3: </w:t>
      </w:r>
      <w:r>
        <w:rPr>
          <w:rFonts w:hint="eastAsia" w:eastAsia="宋体"/>
          <w:b/>
          <w:bCs/>
          <w:lang w:val="en-US" w:eastAsia="zh-CN"/>
        </w:rPr>
        <w:t>It is suggested</w:t>
      </w:r>
      <w:r>
        <w:rPr>
          <w:rFonts w:hint="eastAsia" w:eastAsia="宋体"/>
          <w:b/>
          <w:bCs/>
          <w:kern w:val="2"/>
          <w:lang w:val="en-US" w:eastAsia="zh-CN"/>
        </w:rPr>
        <w:t xml:space="preserve"> </w:t>
      </w:r>
      <w:r>
        <w:rPr>
          <w:rFonts w:hint="eastAsia" w:eastAsia="宋体"/>
          <w:b/>
          <w:bCs/>
          <w:kern w:val="2"/>
          <w:lang w:eastAsia="zh-CN"/>
        </w:rPr>
        <w:t xml:space="preserve">to </w:t>
      </w:r>
      <w:r>
        <w:rPr>
          <w:rFonts w:hint="eastAsia" w:eastAsia="宋体"/>
          <w:b/>
          <w:bCs/>
          <w:kern w:val="2"/>
          <w:lang w:val="en-US" w:eastAsia="zh-CN"/>
        </w:rPr>
        <w:t xml:space="preserve">study whether to </w:t>
      </w:r>
      <w:r>
        <w:rPr>
          <w:rFonts w:hint="eastAsia" w:eastAsia="宋体"/>
          <w:b/>
          <w:bCs/>
          <w:kern w:val="2"/>
          <w:lang w:eastAsia="zh-CN"/>
        </w:rPr>
        <w:t xml:space="preserve">configure the relationship between NR </w:t>
      </w:r>
      <w:r>
        <w:rPr>
          <w:rFonts w:hint="eastAsia" w:eastAsia="宋体"/>
          <w:b/>
          <w:bCs/>
          <w:kern w:val="2"/>
          <w:lang w:val="en-US" w:eastAsia="zh-CN"/>
        </w:rPr>
        <w:t xml:space="preserve">V2X </w:t>
      </w:r>
      <w:r>
        <w:rPr>
          <w:rFonts w:hint="eastAsia" w:eastAsia="宋体"/>
          <w:b/>
          <w:bCs/>
          <w:kern w:val="2"/>
          <w:lang w:eastAsia="zh-CN"/>
        </w:rPr>
        <w:t>LCG and Qo</w:t>
      </w:r>
      <w:r>
        <w:rPr>
          <w:rFonts w:hint="eastAsia" w:eastAsia="宋体"/>
          <w:b/>
          <w:bCs/>
          <w:kern w:val="2"/>
          <w:lang w:val="en-US" w:eastAsia="zh-CN"/>
        </w:rPr>
        <w:t>S</w:t>
      </w:r>
      <w:r>
        <w:rPr>
          <w:rFonts w:hint="eastAsia" w:eastAsia="宋体"/>
          <w:b/>
          <w:bCs/>
          <w:kern w:val="2"/>
          <w:lang w:eastAsia="zh-CN"/>
        </w:rPr>
        <w:t xml:space="preserve"> parameter</w:t>
      </w:r>
      <w:r>
        <w:rPr>
          <w:rFonts w:hint="eastAsia" w:eastAsia="宋体"/>
          <w:b/>
          <w:bCs/>
          <w:kern w:val="2"/>
          <w:lang w:val="en-US" w:eastAsia="zh-CN"/>
        </w:rPr>
        <w:t xml:space="preserve"> according to the progress of NR V2X QoS.</w:t>
      </w:r>
      <w:r>
        <w:rPr>
          <w:rFonts w:hint="eastAsia"/>
          <w:lang w:val="en-US" w:eastAsia="zh-CN"/>
        </w:rPr>
        <w:t>.</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b/>
          <w:bCs/>
          <w:sz w:val="20"/>
          <w:szCs w:val="20"/>
          <w:lang w:val="en-US" w:eastAsia="zh-CN"/>
        </w:rPr>
      </w:pPr>
      <w:r>
        <w:rPr>
          <w:rFonts w:hint="eastAsia"/>
          <w:b/>
          <w:bCs/>
          <w:sz w:val="20"/>
          <w:szCs w:val="20"/>
          <w:lang w:val="en-US" w:eastAsia="zh-CN"/>
        </w:rPr>
        <w:t>Observation 1:  In LTE V2X, destination index is included in Sidelink BSR and the size of destination index is limited to 4 bits. It means that the total number is no more than 16 to cover dimensions of both V2X service (in terms of destination ID) and V2X frequency. If UE supports multiple V2X services and V2X frequencies at the same time, there are concerns that the limit of 16 destination indexes will no longer be enough.</w:t>
      </w:r>
    </w:p>
    <w:p>
      <w:pPr>
        <w:keepNext w:val="0"/>
        <w:keepLines w:val="0"/>
        <w:pageBreakBefore w:val="0"/>
        <w:widowControl/>
        <w:kinsoku/>
        <w:wordWrap/>
        <w:overflowPunct/>
        <w:topLinePunct w:val="0"/>
        <w:autoSpaceDE/>
        <w:autoSpaceDN/>
        <w:bidi w:val="0"/>
        <w:adjustRightInd/>
        <w:snapToGrid/>
        <w:jc w:val="both"/>
        <w:textAlignment w:val="auto"/>
        <w:outlineLvl w:val="9"/>
        <w:rPr>
          <w:rFonts w:hint="eastAsia" w:eastAsia="宋体"/>
          <w:b/>
          <w:bCs/>
          <w:lang w:val="en-US" w:eastAsia="zh-CN"/>
        </w:rPr>
      </w:pPr>
      <w:r>
        <w:rPr>
          <w:rFonts w:hint="eastAsia"/>
          <w:b/>
          <w:bCs/>
          <w:sz w:val="20"/>
          <w:szCs w:val="20"/>
          <w:lang w:val="en-US" w:eastAsia="zh-CN"/>
        </w:rPr>
        <w:t xml:space="preserve">Proposal 4: It is suggested to adopt a new structured in NR </w:t>
      </w:r>
      <w:r>
        <w:rPr>
          <w:rFonts w:hint="eastAsia"/>
          <w:b/>
          <w:bCs/>
          <w:i/>
          <w:iCs/>
          <w:sz w:val="20"/>
          <w:szCs w:val="20"/>
          <w:lang w:val="en-US" w:eastAsia="zh-CN"/>
        </w:rPr>
        <w:t>SidelinkUEInformation</w:t>
      </w:r>
      <w:r>
        <w:rPr>
          <w:rFonts w:hint="eastAsia"/>
          <w:b/>
          <w:bCs/>
          <w:sz w:val="20"/>
          <w:szCs w:val="20"/>
          <w:lang w:val="en-US" w:eastAsia="zh-CN"/>
        </w:rPr>
        <w:t>. For example, UE reports available frequency set per destination and only one destination index is allocated for a given destination ID .</w:t>
      </w:r>
    </w:p>
    <w:p>
      <w:pPr>
        <w:pageBreakBefore w:val="0"/>
        <w:kinsoku/>
        <w:wordWrap/>
        <w:topLinePunct w:val="0"/>
        <w:bidi w:val="0"/>
        <w:snapToGrid/>
        <w:jc w:val="both"/>
        <w:rPr>
          <w:rFonts w:hint="eastAsia"/>
          <w:b/>
          <w:bCs/>
          <w:lang w:val="en-US" w:eastAsia="zh-CN"/>
        </w:rPr>
      </w:pPr>
      <w:r>
        <w:rPr>
          <w:rFonts w:hint="eastAsia"/>
          <w:b/>
          <w:bCs/>
          <w:lang w:val="en-US" w:eastAsia="zh-CN"/>
        </w:rPr>
        <w:t>Proposal 5: It is suggested to take the NR UL configured grant mechanism as the baseline for NR V2X.</w:t>
      </w:r>
    </w:p>
    <w:p>
      <w:pPr>
        <w:pageBreakBefore w:val="0"/>
        <w:kinsoku/>
        <w:wordWrap/>
        <w:topLinePunct w:val="0"/>
        <w:bidi w:val="0"/>
        <w:snapToGrid/>
        <w:jc w:val="both"/>
        <w:rPr>
          <w:rFonts w:hint="eastAsia"/>
          <w:b/>
          <w:bCs/>
          <w:lang w:val="en-US" w:eastAsia="zh-CN"/>
        </w:rPr>
      </w:pPr>
      <w:r>
        <w:rPr>
          <w:rFonts w:hint="eastAsia"/>
          <w:b/>
          <w:bCs/>
          <w:lang w:val="en-US" w:eastAsia="zh-CN"/>
        </w:rPr>
        <w:t>Proposal 6:It is suggested to support active multiple configured Grants.</w:t>
      </w:r>
    </w:p>
    <w:p>
      <w:pPr>
        <w:pageBreakBefore w:val="0"/>
        <w:kinsoku/>
        <w:wordWrap/>
        <w:topLinePunct w:val="0"/>
        <w:bidi w:val="0"/>
        <w:snapToGrid/>
        <w:jc w:val="both"/>
        <w:rPr>
          <w:rFonts w:hint="eastAsia"/>
          <w:b/>
          <w:bCs/>
          <w:lang w:val="en-US" w:eastAsia="zh-CN"/>
        </w:rPr>
      </w:pPr>
      <w:r>
        <w:rPr>
          <w:rFonts w:hint="eastAsia"/>
          <w:b/>
          <w:bCs/>
          <w:lang w:val="en-US" w:eastAsia="zh-CN"/>
        </w:rPr>
        <w:t>Proposal 7: It is suggested to deprioritize the type 1 configured grant and focus on type 2 configured grant firstly for NR V2X.</w:t>
      </w:r>
    </w:p>
    <w:p>
      <w:pPr>
        <w:pageBreakBefore w:val="0"/>
        <w:kinsoku/>
        <w:wordWrap/>
        <w:topLinePunct w:val="0"/>
        <w:bidi w:val="0"/>
        <w:snapToGrid/>
        <w:jc w:val="both"/>
        <w:rPr>
          <w:lang w:eastAsia="zh-CN"/>
        </w:rPr>
      </w:pPr>
      <w:r>
        <w:rPr>
          <w:rFonts w:hint="eastAsia"/>
          <w:b/>
          <w:bCs/>
          <w:lang w:val="en-US" w:eastAsia="zh-CN"/>
        </w:rPr>
        <w:t>Proposal 8:</w:t>
      </w:r>
      <w:r>
        <w:rPr>
          <w:b/>
          <w:bCs/>
          <w:lang w:eastAsia="en-GB"/>
        </w:rPr>
        <w:t xml:space="preserve">UE </w:t>
      </w:r>
      <w:r>
        <w:rPr>
          <w:rFonts w:eastAsia="宋体"/>
          <w:b/>
          <w:bCs/>
        </w:rPr>
        <w:t xml:space="preserve">assistance </w:t>
      </w:r>
      <w:r>
        <w:rPr>
          <w:b/>
          <w:bCs/>
          <w:lang w:eastAsia="en-GB"/>
        </w:rPr>
        <w:t>information</w:t>
      </w:r>
      <w:r>
        <w:rPr>
          <w:rFonts w:hint="eastAsia"/>
          <w:b/>
          <w:bCs/>
          <w:lang w:val="en-US" w:eastAsia="zh-CN"/>
        </w:rPr>
        <w:t xml:space="preserve"> is still needed for NR V2X. RAN2 shall further study whether more information such as new QoS indication shall be carried in SPS </w:t>
      </w:r>
      <w:r>
        <w:rPr>
          <w:b/>
          <w:bCs/>
          <w:lang w:eastAsia="zh-CN"/>
        </w:rPr>
        <w:t>assistance information</w:t>
      </w:r>
      <w:r>
        <w:rPr>
          <w:rFonts w:hint="eastAsia"/>
          <w:b/>
          <w:bCs/>
          <w:lang w:val="en-US" w:eastAsia="zh-CN"/>
        </w:rPr>
        <w:t>.</w:t>
      </w:r>
    </w:p>
    <w:p>
      <w:pPr>
        <w:pStyle w:val="2"/>
        <w:pageBreakBefore w:val="0"/>
        <w:kinsoku/>
        <w:wordWrap/>
        <w:topLinePunct w:val="0"/>
        <w:bidi w:val="0"/>
        <w:snapToGrid/>
        <w:jc w:val="both"/>
      </w:pPr>
      <w:r>
        <w:t>Reference</w:t>
      </w:r>
    </w:p>
    <w:p>
      <w:pPr>
        <w:pageBreakBefore w:val="0"/>
        <w:kinsoku/>
        <w:wordWrap/>
        <w:topLinePunct w:val="0"/>
        <w:bidi w:val="0"/>
        <w:snapToGrid/>
        <w:jc w:val="both"/>
        <w:rPr>
          <w:sz w:val="20"/>
          <w:szCs w:val="20"/>
          <w:lang w:val="en-US" w:eastAsia="zh-CN"/>
        </w:rPr>
      </w:pPr>
      <w:r>
        <w:rPr>
          <w:rFonts w:hint="eastAsia"/>
          <w:sz w:val="20"/>
          <w:szCs w:val="20"/>
          <w:lang w:val="en-US" w:eastAsia="zh-CN"/>
        </w:rPr>
        <w:t>[1]  RAN2-1816981, Overall consideration on NR V2X resource allocation, ZTE</w:t>
      </w:r>
    </w:p>
    <w:p>
      <w:pPr>
        <w:pStyle w:val="91"/>
        <w:keepLines w:val="0"/>
        <w:pageBreakBefore w:val="0"/>
        <w:numPr>
          <w:ilvl w:val="0"/>
          <w:numId w:val="0"/>
        </w:numPr>
        <w:kinsoku/>
        <w:wordWrap/>
        <w:overflowPunct w:val="0"/>
        <w:topLinePunct w:val="0"/>
        <w:autoSpaceDE w:val="0"/>
        <w:autoSpaceDN w:val="0"/>
        <w:bidi w:val="0"/>
        <w:adjustRightInd w:val="0"/>
        <w:snapToGrid/>
        <w:spacing w:after="120"/>
        <w:jc w:val="both"/>
        <w:textAlignment w:val="baseline"/>
        <w:rPr>
          <w:lang w:eastAsia="zh-CN"/>
        </w:rPr>
      </w:pPr>
    </w:p>
    <w:sectPr>
      <w:footnotePr>
        <w:numRestart w:val="eachSect"/>
      </w:footnotePr>
      <w:pgSz w:w="11907" w:h="16840"/>
      <w:pgMar w:top="851" w:right="1275" w:bottom="794" w:left="96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FangSong_GB2312">
    <w:altName w:val="仿宋"/>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85617F"/>
    <w:multiLevelType w:val="singleLevel"/>
    <w:tmpl w:val="9F85617F"/>
    <w:lvl w:ilvl="0" w:tentative="0">
      <w:start w:val="1"/>
      <w:numFmt w:val="bullet"/>
      <w:lvlText w:val=""/>
      <w:lvlJc w:val="left"/>
      <w:pPr>
        <w:ind w:left="420" w:hanging="420"/>
      </w:pPr>
      <w:rPr>
        <w:rFonts w:hint="default" w:ascii="Wingdings" w:hAnsi="Wingdings"/>
      </w:rPr>
    </w:lvl>
  </w:abstractNum>
  <w:abstractNum w:abstractNumId="1">
    <w:nsid w:val="3AA46647"/>
    <w:multiLevelType w:val="multilevel"/>
    <w:tmpl w:val="3AA46647"/>
    <w:lvl w:ilvl="0" w:tentative="0">
      <w:start w:val="1"/>
      <w:numFmt w:val="decimal"/>
      <w:pStyle w:val="13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66E3D87"/>
    <w:multiLevelType w:val="singleLevel"/>
    <w:tmpl w:val="466E3D87"/>
    <w:lvl w:ilvl="0" w:tentative="0">
      <w:start w:val="1"/>
      <w:numFmt w:val="lowerRoman"/>
      <w:pStyle w:val="105"/>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rPr>
    </w:lvl>
  </w:abstractNum>
  <w:abstractNum w:abstractNumId="3">
    <w:nsid w:val="5101505E"/>
    <w:multiLevelType w:val="multilevel"/>
    <w:tmpl w:val="5101505E"/>
    <w:lvl w:ilvl="0" w:tentative="0">
      <w:start w:val="1"/>
      <w:numFmt w:val="decimal"/>
      <w:pStyle w:val="12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CA544A"/>
    <w:multiLevelType w:val="singleLevel"/>
    <w:tmpl w:val="52CA544A"/>
    <w:lvl w:ilvl="0" w:tentative="0">
      <w:start w:val="1"/>
      <w:numFmt w:val="decimal"/>
      <w:pStyle w:val="11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5">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9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lang w:val="en-GB"/>
      </w:rPr>
    </w:lvl>
    <w:lvl w:ilvl="1" w:tentative="0">
      <w:start w:val="1"/>
      <w:numFmt w:val="decimal"/>
      <w:pStyle w:val="3"/>
      <w:lvlText w:val="%1.%2"/>
      <w:lvlJc w:val="left"/>
      <w:pPr>
        <w:tabs>
          <w:tab w:val="left" w:pos="718"/>
        </w:tabs>
        <w:ind w:left="718" w:hanging="576"/>
      </w:pPr>
      <w:rPr>
        <w:rFonts w:hint="default"/>
        <w:color w:val="000000"/>
        <w:u w:val="none"/>
      </w:rPr>
    </w:lvl>
    <w:lvl w:ilvl="2" w:tentative="0">
      <w:start w:val="1"/>
      <w:numFmt w:val="decimal"/>
      <w:pStyle w:val="4"/>
      <w:lvlText w:val="%1.%2.%3"/>
      <w:lvlJc w:val="left"/>
      <w:pPr>
        <w:tabs>
          <w:tab w:val="left" w:pos="720"/>
        </w:tabs>
        <w:ind w:left="720"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7">
    <w:nsid w:val="7BC330F5"/>
    <w:multiLevelType w:val="multilevel"/>
    <w:tmpl w:val="7BC330F5"/>
    <w:lvl w:ilvl="0" w:tentative="0">
      <w:start w:val="1"/>
      <w:numFmt w:val="bullet"/>
      <w:pStyle w:val="9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C267F9C"/>
    <w:multiLevelType w:val="multilevel"/>
    <w:tmpl w:val="7C267F9C"/>
    <w:lvl w:ilvl="0" w:tentative="0">
      <w:start w:val="1"/>
      <w:numFmt w:val="bullet"/>
      <w:pStyle w:val="121"/>
      <w:lvlText w:val="o"/>
      <w:lvlJc w:val="left"/>
      <w:pPr>
        <w:ind w:left="1074" w:hanging="360"/>
      </w:pPr>
      <w:rPr>
        <w:rFonts w:hint="default" w:ascii="Courier New" w:hAnsi="Courier New" w:cs="Courier New"/>
      </w:rPr>
    </w:lvl>
    <w:lvl w:ilvl="1" w:tentative="0">
      <w:start w:val="1"/>
      <w:numFmt w:val="bullet"/>
      <w:lvlText w:val="o"/>
      <w:lvlJc w:val="left"/>
      <w:pPr>
        <w:ind w:left="1794" w:hanging="360"/>
      </w:pPr>
      <w:rPr>
        <w:rFonts w:hint="default" w:ascii="Courier New" w:hAnsi="Courier New" w:cs="Courier New"/>
      </w:rPr>
    </w:lvl>
    <w:lvl w:ilvl="2" w:tentative="0">
      <w:start w:val="1"/>
      <w:numFmt w:val="bullet"/>
      <w:lvlText w:val=""/>
      <w:lvlJc w:val="left"/>
      <w:pPr>
        <w:ind w:left="2514" w:hanging="360"/>
      </w:pPr>
      <w:rPr>
        <w:rFonts w:hint="default" w:ascii="Wingdings" w:hAnsi="Wingdings"/>
      </w:rPr>
    </w:lvl>
    <w:lvl w:ilvl="3" w:tentative="0">
      <w:start w:val="0"/>
      <w:numFmt w:val="bullet"/>
      <w:lvlText w:val="-"/>
      <w:lvlJc w:val="left"/>
      <w:pPr>
        <w:ind w:left="3234" w:hanging="360"/>
      </w:pPr>
      <w:rPr>
        <w:rFonts w:hint="default" w:ascii="Times New Roman" w:hAnsi="Times New Roman" w:eastAsia="MS Mincho" w:cs="Times New Roman"/>
      </w:rPr>
    </w:lvl>
    <w:lvl w:ilvl="4" w:tentative="0">
      <w:start w:val="1"/>
      <w:numFmt w:val="bullet"/>
      <w:lvlText w:val="o"/>
      <w:lvlJc w:val="left"/>
      <w:pPr>
        <w:ind w:left="3954" w:hanging="360"/>
      </w:pPr>
      <w:rPr>
        <w:rFonts w:hint="default" w:ascii="Courier New" w:hAnsi="Courier New" w:cs="Courier New"/>
      </w:rPr>
    </w:lvl>
    <w:lvl w:ilvl="5" w:tentative="0">
      <w:start w:val="1"/>
      <w:numFmt w:val="bullet"/>
      <w:lvlText w:val=""/>
      <w:lvlJc w:val="left"/>
      <w:pPr>
        <w:ind w:left="4674" w:hanging="360"/>
      </w:pPr>
      <w:rPr>
        <w:rFonts w:hint="default" w:ascii="Wingdings" w:hAnsi="Wingdings"/>
      </w:rPr>
    </w:lvl>
    <w:lvl w:ilvl="6" w:tentative="0">
      <w:start w:val="1"/>
      <w:numFmt w:val="bullet"/>
      <w:lvlText w:val=""/>
      <w:lvlJc w:val="left"/>
      <w:pPr>
        <w:ind w:left="5394" w:hanging="360"/>
      </w:pPr>
      <w:rPr>
        <w:rFonts w:hint="default" w:ascii="Symbol" w:hAnsi="Symbol"/>
      </w:rPr>
    </w:lvl>
    <w:lvl w:ilvl="7" w:tentative="0">
      <w:start w:val="1"/>
      <w:numFmt w:val="bullet"/>
      <w:lvlText w:val="o"/>
      <w:lvlJc w:val="left"/>
      <w:pPr>
        <w:ind w:left="6114" w:hanging="360"/>
      </w:pPr>
      <w:rPr>
        <w:rFonts w:hint="default" w:ascii="Courier New" w:hAnsi="Courier New" w:cs="Courier New"/>
      </w:rPr>
    </w:lvl>
    <w:lvl w:ilvl="8" w:tentative="0">
      <w:start w:val="1"/>
      <w:numFmt w:val="bullet"/>
      <w:lvlText w:val=""/>
      <w:lvlJc w:val="left"/>
      <w:pPr>
        <w:ind w:left="6834" w:hanging="360"/>
      </w:pPr>
      <w:rPr>
        <w:rFonts w:hint="default" w:ascii="Wingdings" w:hAnsi="Wingdings"/>
      </w:rPr>
    </w:lvl>
  </w:abstractNum>
  <w:num w:numId="1">
    <w:abstractNumId w:val="6"/>
  </w:num>
  <w:num w:numId="2">
    <w:abstractNumId w:val="5"/>
  </w:num>
  <w:num w:numId="3">
    <w:abstractNumId w:val="7"/>
  </w:num>
  <w:num w:numId="4">
    <w:abstractNumId w:val="2"/>
  </w:num>
  <w:num w:numId="5">
    <w:abstractNumId w:val="4"/>
  </w:num>
  <w:num w:numId="6">
    <w:abstractNumId w:val="8"/>
  </w:num>
  <w:num w:numId="7">
    <w:abstractNumId w:val="3"/>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embedSystemFonts/>
  <w:bordersDoNotSurroundHeader w:val="0"/>
  <w:bordersDoNotSurroundFooter w:val="0"/>
  <w:hideSpellingErrors/>
  <w:documentProtection w:enforcement="0"/>
  <w:defaultTabStop w:val="284"/>
  <w:hyphenationZone w:val="425"/>
  <w:doNotHyphenateCaps/>
  <w:drawingGridHorizontalSpacing w:val="6"/>
  <w:drawingGridVerticalSpacing w:val="6"/>
  <w:displayHorizontalDrawingGridEvery w:val="1"/>
  <w:displayVerticalDrawingGridEvery w:val="1"/>
  <w:doNotUseMarginsForDrawingGridOrigin w:val="1"/>
  <w:drawingGridHorizontalOrigin w:val="1800"/>
  <w:drawingGridVerticalOrigin w:val="1985"/>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0C"/>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3F3"/>
    <w:rsid w:val="0000544F"/>
    <w:rsid w:val="00005541"/>
    <w:rsid w:val="0000585E"/>
    <w:rsid w:val="000059CA"/>
    <w:rsid w:val="00005ABF"/>
    <w:rsid w:val="00005D70"/>
    <w:rsid w:val="00005DBD"/>
    <w:rsid w:val="0000662C"/>
    <w:rsid w:val="00006D18"/>
    <w:rsid w:val="00006DDD"/>
    <w:rsid w:val="00007C3F"/>
    <w:rsid w:val="00007CC8"/>
    <w:rsid w:val="00007E7A"/>
    <w:rsid w:val="000107C7"/>
    <w:rsid w:val="00010A15"/>
    <w:rsid w:val="00010D7E"/>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9AF"/>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AE3"/>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65EF"/>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C64"/>
    <w:rsid w:val="00041D31"/>
    <w:rsid w:val="000420B4"/>
    <w:rsid w:val="0004298D"/>
    <w:rsid w:val="00042BB8"/>
    <w:rsid w:val="000436DB"/>
    <w:rsid w:val="000438BB"/>
    <w:rsid w:val="00043E1C"/>
    <w:rsid w:val="00043F81"/>
    <w:rsid w:val="00044652"/>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8FD"/>
    <w:rsid w:val="00050934"/>
    <w:rsid w:val="00051040"/>
    <w:rsid w:val="00051134"/>
    <w:rsid w:val="00051DA3"/>
    <w:rsid w:val="00052154"/>
    <w:rsid w:val="00052AE8"/>
    <w:rsid w:val="00052B1B"/>
    <w:rsid w:val="00053633"/>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29E"/>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77DEE"/>
    <w:rsid w:val="00080D3A"/>
    <w:rsid w:val="00080E87"/>
    <w:rsid w:val="000811E3"/>
    <w:rsid w:val="000814DB"/>
    <w:rsid w:val="00081582"/>
    <w:rsid w:val="000816AA"/>
    <w:rsid w:val="000817E3"/>
    <w:rsid w:val="000818DA"/>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A29"/>
    <w:rsid w:val="00091D30"/>
    <w:rsid w:val="00092416"/>
    <w:rsid w:val="00092659"/>
    <w:rsid w:val="0009278E"/>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54A"/>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626"/>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F38"/>
    <w:rsid w:val="000C3FC8"/>
    <w:rsid w:val="000C40A2"/>
    <w:rsid w:val="000C41EC"/>
    <w:rsid w:val="000C4A5E"/>
    <w:rsid w:val="000C4A5F"/>
    <w:rsid w:val="000C63F4"/>
    <w:rsid w:val="000C650B"/>
    <w:rsid w:val="000C6598"/>
    <w:rsid w:val="000C7192"/>
    <w:rsid w:val="000C722B"/>
    <w:rsid w:val="000C72B2"/>
    <w:rsid w:val="000C7CB0"/>
    <w:rsid w:val="000C7CCD"/>
    <w:rsid w:val="000D003E"/>
    <w:rsid w:val="000D02BB"/>
    <w:rsid w:val="000D0DAE"/>
    <w:rsid w:val="000D1247"/>
    <w:rsid w:val="000D15FF"/>
    <w:rsid w:val="000D1988"/>
    <w:rsid w:val="000D198A"/>
    <w:rsid w:val="000D28F6"/>
    <w:rsid w:val="000D297C"/>
    <w:rsid w:val="000D2B76"/>
    <w:rsid w:val="000D2BFF"/>
    <w:rsid w:val="000D3124"/>
    <w:rsid w:val="000D357B"/>
    <w:rsid w:val="000D3D5C"/>
    <w:rsid w:val="000D3DC5"/>
    <w:rsid w:val="000D3EA0"/>
    <w:rsid w:val="000D405F"/>
    <w:rsid w:val="000D41BA"/>
    <w:rsid w:val="000D48C3"/>
    <w:rsid w:val="000D4DFA"/>
    <w:rsid w:val="000D5001"/>
    <w:rsid w:val="000D588C"/>
    <w:rsid w:val="000D58E8"/>
    <w:rsid w:val="000D63E8"/>
    <w:rsid w:val="000D6568"/>
    <w:rsid w:val="000D6658"/>
    <w:rsid w:val="000D6934"/>
    <w:rsid w:val="000D6D8D"/>
    <w:rsid w:val="000D6F48"/>
    <w:rsid w:val="000D76D0"/>
    <w:rsid w:val="000D77C8"/>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C"/>
    <w:rsid w:val="000E63AE"/>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A17"/>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5C3"/>
    <w:rsid w:val="0010378E"/>
    <w:rsid w:val="00103EBA"/>
    <w:rsid w:val="0010430E"/>
    <w:rsid w:val="0010481C"/>
    <w:rsid w:val="0010485E"/>
    <w:rsid w:val="00104FB4"/>
    <w:rsid w:val="0010583A"/>
    <w:rsid w:val="00105D75"/>
    <w:rsid w:val="00105E9A"/>
    <w:rsid w:val="0010612D"/>
    <w:rsid w:val="0010621D"/>
    <w:rsid w:val="00106D66"/>
    <w:rsid w:val="00106DF9"/>
    <w:rsid w:val="001079AB"/>
    <w:rsid w:val="001079B8"/>
    <w:rsid w:val="00107DBD"/>
    <w:rsid w:val="00110192"/>
    <w:rsid w:val="00110723"/>
    <w:rsid w:val="001108BD"/>
    <w:rsid w:val="00110935"/>
    <w:rsid w:val="00110B78"/>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2F89"/>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768"/>
    <w:rsid w:val="00136013"/>
    <w:rsid w:val="0013640B"/>
    <w:rsid w:val="001367A2"/>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5B4"/>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212"/>
    <w:rsid w:val="001523D6"/>
    <w:rsid w:val="001524AA"/>
    <w:rsid w:val="00153313"/>
    <w:rsid w:val="00153597"/>
    <w:rsid w:val="001537FF"/>
    <w:rsid w:val="00153875"/>
    <w:rsid w:val="00153A93"/>
    <w:rsid w:val="00153B0B"/>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6ED"/>
    <w:rsid w:val="00165B88"/>
    <w:rsid w:val="0016641D"/>
    <w:rsid w:val="0016641F"/>
    <w:rsid w:val="00166570"/>
    <w:rsid w:val="001665A4"/>
    <w:rsid w:val="00166A54"/>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C5F"/>
    <w:rsid w:val="00174D08"/>
    <w:rsid w:val="00174D74"/>
    <w:rsid w:val="00174E8E"/>
    <w:rsid w:val="001752FA"/>
    <w:rsid w:val="001756F5"/>
    <w:rsid w:val="0017575D"/>
    <w:rsid w:val="00175938"/>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580"/>
    <w:rsid w:val="00184713"/>
    <w:rsid w:val="00184BEE"/>
    <w:rsid w:val="00184FFE"/>
    <w:rsid w:val="00185884"/>
    <w:rsid w:val="00185AB7"/>
    <w:rsid w:val="00185D53"/>
    <w:rsid w:val="00185F05"/>
    <w:rsid w:val="001868DC"/>
    <w:rsid w:val="00186EE9"/>
    <w:rsid w:val="00187520"/>
    <w:rsid w:val="0018756D"/>
    <w:rsid w:val="0018758B"/>
    <w:rsid w:val="0019044D"/>
    <w:rsid w:val="00190DC5"/>
    <w:rsid w:val="00191B39"/>
    <w:rsid w:val="00191CC9"/>
    <w:rsid w:val="001926C7"/>
    <w:rsid w:val="00192F0D"/>
    <w:rsid w:val="00193550"/>
    <w:rsid w:val="00193802"/>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21A"/>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5"/>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3CFA"/>
    <w:rsid w:val="001C4417"/>
    <w:rsid w:val="001C4634"/>
    <w:rsid w:val="001C48A3"/>
    <w:rsid w:val="001C5174"/>
    <w:rsid w:val="001C52D0"/>
    <w:rsid w:val="001C56A6"/>
    <w:rsid w:val="001C59FB"/>
    <w:rsid w:val="001C5ABA"/>
    <w:rsid w:val="001C5B7F"/>
    <w:rsid w:val="001C615D"/>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0F6A"/>
    <w:rsid w:val="001E12E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6F36"/>
    <w:rsid w:val="001F71A2"/>
    <w:rsid w:val="001F797C"/>
    <w:rsid w:val="001F7C6D"/>
    <w:rsid w:val="001F7EFC"/>
    <w:rsid w:val="00200929"/>
    <w:rsid w:val="00200AC0"/>
    <w:rsid w:val="00201C38"/>
    <w:rsid w:val="00201E9D"/>
    <w:rsid w:val="002024A5"/>
    <w:rsid w:val="00202745"/>
    <w:rsid w:val="002029C4"/>
    <w:rsid w:val="00202B2C"/>
    <w:rsid w:val="00202F44"/>
    <w:rsid w:val="0020396D"/>
    <w:rsid w:val="00203A43"/>
    <w:rsid w:val="00203ACF"/>
    <w:rsid w:val="00203C92"/>
    <w:rsid w:val="00203DF8"/>
    <w:rsid w:val="00204056"/>
    <w:rsid w:val="00204355"/>
    <w:rsid w:val="0020454B"/>
    <w:rsid w:val="00204AED"/>
    <w:rsid w:val="002062DB"/>
    <w:rsid w:val="002062FC"/>
    <w:rsid w:val="00206451"/>
    <w:rsid w:val="00206AE6"/>
    <w:rsid w:val="00206D3A"/>
    <w:rsid w:val="00206E68"/>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5D91"/>
    <w:rsid w:val="002160C5"/>
    <w:rsid w:val="0021648D"/>
    <w:rsid w:val="00216AF3"/>
    <w:rsid w:val="00216C7A"/>
    <w:rsid w:val="00216EC3"/>
    <w:rsid w:val="00216F1D"/>
    <w:rsid w:val="0021717D"/>
    <w:rsid w:val="002174BC"/>
    <w:rsid w:val="00217CE3"/>
    <w:rsid w:val="002210EC"/>
    <w:rsid w:val="00221316"/>
    <w:rsid w:val="00221332"/>
    <w:rsid w:val="00221639"/>
    <w:rsid w:val="00221AE7"/>
    <w:rsid w:val="002223CF"/>
    <w:rsid w:val="00222DC6"/>
    <w:rsid w:val="00223628"/>
    <w:rsid w:val="00223681"/>
    <w:rsid w:val="00223DC9"/>
    <w:rsid w:val="0022490A"/>
    <w:rsid w:val="00224A52"/>
    <w:rsid w:val="00225010"/>
    <w:rsid w:val="00225037"/>
    <w:rsid w:val="0022547F"/>
    <w:rsid w:val="002265AF"/>
    <w:rsid w:val="00226C02"/>
    <w:rsid w:val="00226CA3"/>
    <w:rsid w:val="00226DDB"/>
    <w:rsid w:val="00226DF9"/>
    <w:rsid w:val="002273ED"/>
    <w:rsid w:val="002277CB"/>
    <w:rsid w:val="002279B8"/>
    <w:rsid w:val="00230468"/>
    <w:rsid w:val="0023048F"/>
    <w:rsid w:val="00230722"/>
    <w:rsid w:val="00230785"/>
    <w:rsid w:val="00230AD3"/>
    <w:rsid w:val="00230FCA"/>
    <w:rsid w:val="00231073"/>
    <w:rsid w:val="0023190E"/>
    <w:rsid w:val="00231CB4"/>
    <w:rsid w:val="00231EB0"/>
    <w:rsid w:val="00231FB7"/>
    <w:rsid w:val="0023277C"/>
    <w:rsid w:val="00232831"/>
    <w:rsid w:val="00233229"/>
    <w:rsid w:val="00233FE5"/>
    <w:rsid w:val="002342DA"/>
    <w:rsid w:val="00234517"/>
    <w:rsid w:val="002348D2"/>
    <w:rsid w:val="00234A80"/>
    <w:rsid w:val="00234C85"/>
    <w:rsid w:val="00234CCA"/>
    <w:rsid w:val="00234CF8"/>
    <w:rsid w:val="00234DF5"/>
    <w:rsid w:val="00234E36"/>
    <w:rsid w:val="00234E60"/>
    <w:rsid w:val="0023530F"/>
    <w:rsid w:val="002354D5"/>
    <w:rsid w:val="002356BB"/>
    <w:rsid w:val="00235F3E"/>
    <w:rsid w:val="00236B54"/>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E4C"/>
    <w:rsid w:val="00245FF6"/>
    <w:rsid w:val="00246597"/>
    <w:rsid w:val="00246C16"/>
    <w:rsid w:val="0024784E"/>
    <w:rsid w:val="00250580"/>
    <w:rsid w:val="002505A7"/>
    <w:rsid w:val="002512C1"/>
    <w:rsid w:val="00251772"/>
    <w:rsid w:val="002518D7"/>
    <w:rsid w:val="00252076"/>
    <w:rsid w:val="00252127"/>
    <w:rsid w:val="002522A0"/>
    <w:rsid w:val="00253007"/>
    <w:rsid w:val="00253DB0"/>
    <w:rsid w:val="00254D97"/>
    <w:rsid w:val="00254DF1"/>
    <w:rsid w:val="00254E25"/>
    <w:rsid w:val="00254E8E"/>
    <w:rsid w:val="00255314"/>
    <w:rsid w:val="0025575B"/>
    <w:rsid w:val="00255884"/>
    <w:rsid w:val="00255E20"/>
    <w:rsid w:val="002561F3"/>
    <w:rsid w:val="00256223"/>
    <w:rsid w:val="0025645C"/>
    <w:rsid w:val="00256EBE"/>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BB"/>
    <w:rsid w:val="002658C0"/>
    <w:rsid w:val="00265C4B"/>
    <w:rsid w:val="002662B7"/>
    <w:rsid w:val="00266355"/>
    <w:rsid w:val="00266579"/>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4BA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3CB9"/>
    <w:rsid w:val="0028409F"/>
    <w:rsid w:val="002840A8"/>
    <w:rsid w:val="00284161"/>
    <w:rsid w:val="00284974"/>
    <w:rsid w:val="00284A2B"/>
    <w:rsid w:val="0028542B"/>
    <w:rsid w:val="00285769"/>
    <w:rsid w:val="002861B3"/>
    <w:rsid w:val="002861DD"/>
    <w:rsid w:val="00286475"/>
    <w:rsid w:val="002866B1"/>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D47"/>
    <w:rsid w:val="002D0E97"/>
    <w:rsid w:val="002D19AD"/>
    <w:rsid w:val="002D1C8B"/>
    <w:rsid w:val="002D1E93"/>
    <w:rsid w:val="002D220A"/>
    <w:rsid w:val="002D22CE"/>
    <w:rsid w:val="002D2485"/>
    <w:rsid w:val="002D2A02"/>
    <w:rsid w:val="002D2B7D"/>
    <w:rsid w:val="002D2D63"/>
    <w:rsid w:val="002D3342"/>
    <w:rsid w:val="002D36F9"/>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1DF"/>
    <w:rsid w:val="002E32B2"/>
    <w:rsid w:val="002E3803"/>
    <w:rsid w:val="002E3870"/>
    <w:rsid w:val="002E4064"/>
    <w:rsid w:val="002E420F"/>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9E9"/>
    <w:rsid w:val="002F7A97"/>
    <w:rsid w:val="00300B2B"/>
    <w:rsid w:val="00300E19"/>
    <w:rsid w:val="003012AC"/>
    <w:rsid w:val="0030161C"/>
    <w:rsid w:val="003019B0"/>
    <w:rsid w:val="00302054"/>
    <w:rsid w:val="00302652"/>
    <w:rsid w:val="00302656"/>
    <w:rsid w:val="00302D13"/>
    <w:rsid w:val="00303277"/>
    <w:rsid w:val="00303777"/>
    <w:rsid w:val="003038EB"/>
    <w:rsid w:val="0030413C"/>
    <w:rsid w:val="003042D9"/>
    <w:rsid w:val="003048B7"/>
    <w:rsid w:val="00304BF6"/>
    <w:rsid w:val="00304CFE"/>
    <w:rsid w:val="00304E36"/>
    <w:rsid w:val="003051E2"/>
    <w:rsid w:val="0030589D"/>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649"/>
    <w:rsid w:val="0031489F"/>
    <w:rsid w:val="0031496C"/>
    <w:rsid w:val="00314DA1"/>
    <w:rsid w:val="00314F25"/>
    <w:rsid w:val="00314F8D"/>
    <w:rsid w:val="00314FA0"/>
    <w:rsid w:val="00314FCD"/>
    <w:rsid w:val="00314FF5"/>
    <w:rsid w:val="0031505C"/>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1EAB"/>
    <w:rsid w:val="0032214A"/>
    <w:rsid w:val="00322281"/>
    <w:rsid w:val="00322564"/>
    <w:rsid w:val="00322A19"/>
    <w:rsid w:val="00322EEC"/>
    <w:rsid w:val="00322F7F"/>
    <w:rsid w:val="0032394D"/>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3ABF"/>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19CC"/>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0AA"/>
    <w:rsid w:val="003521EF"/>
    <w:rsid w:val="003525E2"/>
    <w:rsid w:val="00352ACD"/>
    <w:rsid w:val="0035308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C14"/>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947"/>
    <w:rsid w:val="00364C80"/>
    <w:rsid w:val="0036523B"/>
    <w:rsid w:val="003652D6"/>
    <w:rsid w:val="00365564"/>
    <w:rsid w:val="00365644"/>
    <w:rsid w:val="00365D1E"/>
    <w:rsid w:val="0036663A"/>
    <w:rsid w:val="00366B0C"/>
    <w:rsid w:val="00366E72"/>
    <w:rsid w:val="00366EBA"/>
    <w:rsid w:val="003673C1"/>
    <w:rsid w:val="00367452"/>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7C2"/>
    <w:rsid w:val="00372ECC"/>
    <w:rsid w:val="00373181"/>
    <w:rsid w:val="0037376D"/>
    <w:rsid w:val="00373DE6"/>
    <w:rsid w:val="00373E66"/>
    <w:rsid w:val="00374D7F"/>
    <w:rsid w:val="0037513F"/>
    <w:rsid w:val="003752FB"/>
    <w:rsid w:val="00375516"/>
    <w:rsid w:val="00375706"/>
    <w:rsid w:val="00375AA9"/>
    <w:rsid w:val="0037676D"/>
    <w:rsid w:val="00376842"/>
    <w:rsid w:val="00377036"/>
    <w:rsid w:val="00377203"/>
    <w:rsid w:val="00380474"/>
    <w:rsid w:val="00381B09"/>
    <w:rsid w:val="00381FA3"/>
    <w:rsid w:val="003820B1"/>
    <w:rsid w:val="00382B4F"/>
    <w:rsid w:val="00382FBA"/>
    <w:rsid w:val="00383742"/>
    <w:rsid w:val="0038404A"/>
    <w:rsid w:val="0038420A"/>
    <w:rsid w:val="0038443A"/>
    <w:rsid w:val="003847C1"/>
    <w:rsid w:val="00384DA4"/>
    <w:rsid w:val="00385723"/>
    <w:rsid w:val="003862BE"/>
    <w:rsid w:val="0038647B"/>
    <w:rsid w:val="00386561"/>
    <w:rsid w:val="003872EB"/>
    <w:rsid w:val="00387986"/>
    <w:rsid w:val="00387C98"/>
    <w:rsid w:val="003906D3"/>
    <w:rsid w:val="00390FB3"/>
    <w:rsid w:val="00391048"/>
    <w:rsid w:val="003912D5"/>
    <w:rsid w:val="003917E7"/>
    <w:rsid w:val="00391F1F"/>
    <w:rsid w:val="0039224D"/>
    <w:rsid w:val="0039244A"/>
    <w:rsid w:val="00393ACE"/>
    <w:rsid w:val="00393B5A"/>
    <w:rsid w:val="00393DA5"/>
    <w:rsid w:val="00394135"/>
    <w:rsid w:val="00394268"/>
    <w:rsid w:val="003942C3"/>
    <w:rsid w:val="003948C5"/>
    <w:rsid w:val="00394988"/>
    <w:rsid w:val="00394B0B"/>
    <w:rsid w:val="00394C77"/>
    <w:rsid w:val="003950EE"/>
    <w:rsid w:val="00395265"/>
    <w:rsid w:val="00395652"/>
    <w:rsid w:val="00395753"/>
    <w:rsid w:val="00395BA2"/>
    <w:rsid w:val="00395D8E"/>
    <w:rsid w:val="00396164"/>
    <w:rsid w:val="003964E5"/>
    <w:rsid w:val="00397075"/>
    <w:rsid w:val="003971D9"/>
    <w:rsid w:val="003979B1"/>
    <w:rsid w:val="00397E45"/>
    <w:rsid w:val="003A01CE"/>
    <w:rsid w:val="003A0387"/>
    <w:rsid w:val="003A04FC"/>
    <w:rsid w:val="003A0C3D"/>
    <w:rsid w:val="003A0ECB"/>
    <w:rsid w:val="003A0F72"/>
    <w:rsid w:val="003A107B"/>
    <w:rsid w:val="003A1160"/>
    <w:rsid w:val="003A1653"/>
    <w:rsid w:val="003A1E2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7A"/>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A43"/>
    <w:rsid w:val="003C1BB3"/>
    <w:rsid w:val="003C1CE5"/>
    <w:rsid w:val="003C2C86"/>
    <w:rsid w:val="003C2FF2"/>
    <w:rsid w:val="003C31AE"/>
    <w:rsid w:val="003C329E"/>
    <w:rsid w:val="003C3504"/>
    <w:rsid w:val="003C36CF"/>
    <w:rsid w:val="003C37EF"/>
    <w:rsid w:val="003C3874"/>
    <w:rsid w:val="003C3913"/>
    <w:rsid w:val="003C3EE0"/>
    <w:rsid w:val="003C425D"/>
    <w:rsid w:val="003C428F"/>
    <w:rsid w:val="003C49D3"/>
    <w:rsid w:val="003C4A3C"/>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5A4"/>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944"/>
    <w:rsid w:val="003E5ACD"/>
    <w:rsid w:val="003E5C23"/>
    <w:rsid w:val="003E5F0F"/>
    <w:rsid w:val="003E6012"/>
    <w:rsid w:val="003E60D9"/>
    <w:rsid w:val="003E6B2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2B3C"/>
    <w:rsid w:val="003F3986"/>
    <w:rsid w:val="003F3AB5"/>
    <w:rsid w:val="003F3C8D"/>
    <w:rsid w:val="003F413C"/>
    <w:rsid w:val="003F4379"/>
    <w:rsid w:val="003F47CC"/>
    <w:rsid w:val="003F4901"/>
    <w:rsid w:val="003F4925"/>
    <w:rsid w:val="003F4930"/>
    <w:rsid w:val="003F4BE2"/>
    <w:rsid w:val="003F4EBF"/>
    <w:rsid w:val="003F50C5"/>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14D"/>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07CF3"/>
    <w:rsid w:val="004100F2"/>
    <w:rsid w:val="004107E5"/>
    <w:rsid w:val="00410CB0"/>
    <w:rsid w:val="00411C34"/>
    <w:rsid w:val="00411E9F"/>
    <w:rsid w:val="00411F1F"/>
    <w:rsid w:val="0041278F"/>
    <w:rsid w:val="00412932"/>
    <w:rsid w:val="0041339C"/>
    <w:rsid w:val="00413ACE"/>
    <w:rsid w:val="00413AFA"/>
    <w:rsid w:val="00413C02"/>
    <w:rsid w:val="00414474"/>
    <w:rsid w:val="00414D1E"/>
    <w:rsid w:val="00415CA3"/>
    <w:rsid w:val="0041619F"/>
    <w:rsid w:val="00416279"/>
    <w:rsid w:val="004166B3"/>
    <w:rsid w:val="00416ADC"/>
    <w:rsid w:val="00416BEA"/>
    <w:rsid w:val="00416CA6"/>
    <w:rsid w:val="00416E52"/>
    <w:rsid w:val="00417013"/>
    <w:rsid w:val="004170FF"/>
    <w:rsid w:val="00417743"/>
    <w:rsid w:val="004177BF"/>
    <w:rsid w:val="004207A2"/>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A3A"/>
    <w:rsid w:val="00427C5E"/>
    <w:rsid w:val="00427F99"/>
    <w:rsid w:val="0043021A"/>
    <w:rsid w:val="0043030E"/>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7DD"/>
    <w:rsid w:val="00441B1F"/>
    <w:rsid w:val="00441F03"/>
    <w:rsid w:val="00442089"/>
    <w:rsid w:val="0044336E"/>
    <w:rsid w:val="00443683"/>
    <w:rsid w:val="00443731"/>
    <w:rsid w:val="00443B52"/>
    <w:rsid w:val="0044460D"/>
    <w:rsid w:val="00444897"/>
    <w:rsid w:val="00444C8A"/>
    <w:rsid w:val="00445765"/>
    <w:rsid w:val="004459F4"/>
    <w:rsid w:val="004461B8"/>
    <w:rsid w:val="004468D0"/>
    <w:rsid w:val="00447307"/>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D19"/>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83E"/>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3DB"/>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7E1"/>
    <w:rsid w:val="00481DFC"/>
    <w:rsid w:val="00482095"/>
    <w:rsid w:val="00482811"/>
    <w:rsid w:val="00482B13"/>
    <w:rsid w:val="00482F84"/>
    <w:rsid w:val="00483312"/>
    <w:rsid w:val="0048391B"/>
    <w:rsid w:val="00483D36"/>
    <w:rsid w:val="00483E0F"/>
    <w:rsid w:val="004841E7"/>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A28"/>
    <w:rsid w:val="004A1BC4"/>
    <w:rsid w:val="004A2177"/>
    <w:rsid w:val="004A250E"/>
    <w:rsid w:val="004A28A0"/>
    <w:rsid w:val="004A2DAC"/>
    <w:rsid w:val="004A3317"/>
    <w:rsid w:val="004A3464"/>
    <w:rsid w:val="004A35F3"/>
    <w:rsid w:val="004A3BAD"/>
    <w:rsid w:val="004A3FD1"/>
    <w:rsid w:val="004A4221"/>
    <w:rsid w:val="004A4A5E"/>
    <w:rsid w:val="004A4F02"/>
    <w:rsid w:val="004A4F15"/>
    <w:rsid w:val="004A53C6"/>
    <w:rsid w:val="004A544C"/>
    <w:rsid w:val="004A581F"/>
    <w:rsid w:val="004A5C0E"/>
    <w:rsid w:val="004A5CD2"/>
    <w:rsid w:val="004A60BE"/>
    <w:rsid w:val="004A6344"/>
    <w:rsid w:val="004A6456"/>
    <w:rsid w:val="004A69BF"/>
    <w:rsid w:val="004A69DC"/>
    <w:rsid w:val="004A6C7A"/>
    <w:rsid w:val="004A6E22"/>
    <w:rsid w:val="004A7121"/>
    <w:rsid w:val="004A7569"/>
    <w:rsid w:val="004A7D3B"/>
    <w:rsid w:val="004B0D36"/>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92F"/>
    <w:rsid w:val="004B6C2D"/>
    <w:rsid w:val="004B6F76"/>
    <w:rsid w:val="004B797D"/>
    <w:rsid w:val="004B7E92"/>
    <w:rsid w:val="004C0229"/>
    <w:rsid w:val="004C0A97"/>
    <w:rsid w:val="004C0D63"/>
    <w:rsid w:val="004C11F7"/>
    <w:rsid w:val="004C1346"/>
    <w:rsid w:val="004C1ACD"/>
    <w:rsid w:val="004C1C22"/>
    <w:rsid w:val="004C1D4A"/>
    <w:rsid w:val="004C23AD"/>
    <w:rsid w:val="004C2813"/>
    <w:rsid w:val="004C28E9"/>
    <w:rsid w:val="004C297F"/>
    <w:rsid w:val="004C2A18"/>
    <w:rsid w:val="004C2E36"/>
    <w:rsid w:val="004C3098"/>
    <w:rsid w:val="004C3111"/>
    <w:rsid w:val="004C3809"/>
    <w:rsid w:val="004C38EB"/>
    <w:rsid w:val="004C3A39"/>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C7AB3"/>
    <w:rsid w:val="004D0005"/>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5298"/>
    <w:rsid w:val="004D5699"/>
    <w:rsid w:val="004D58BF"/>
    <w:rsid w:val="004D5A35"/>
    <w:rsid w:val="004D5B08"/>
    <w:rsid w:val="004D5DFA"/>
    <w:rsid w:val="004D5F1B"/>
    <w:rsid w:val="004D6237"/>
    <w:rsid w:val="004D6333"/>
    <w:rsid w:val="004D667B"/>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63A9"/>
    <w:rsid w:val="00506502"/>
    <w:rsid w:val="00506693"/>
    <w:rsid w:val="00506720"/>
    <w:rsid w:val="00506A52"/>
    <w:rsid w:val="00506A7A"/>
    <w:rsid w:val="0050710C"/>
    <w:rsid w:val="00507778"/>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3DB2"/>
    <w:rsid w:val="0051405E"/>
    <w:rsid w:val="00514243"/>
    <w:rsid w:val="0051424E"/>
    <w:rsid w:val="00514284"/>
    <w:rsid w:val="00514373"/>
    <w:rsid w:val="005149B0"/>
    <w:rsid w:val="00514C6A"/>
    <w:rsid w:val="00514CC5"/>
    <w:rsid w:val="00514F3A"/>
    <w:rsid w:val="005153B7"/>
    <w:rsid w:val="00516515"/>
    <w:rsid w:val="00516ABE"/>
    <w:rsid w:val="00521057"/>
    <w:rsid w:val="00521149"/>
    <w:rsid w:val="005220E2"/>
    <w:rsid w:val="005220E8"/>
    <w:rsid w:val="00522C62"/>
    <w:rsid w:val="00522F4F"/>
    <w:rsid w:val="0052360D"/>
    <w:rsid w:val="00523C63"/>
    <w:rsid w:val="0052420C"/>
    <w:rsid w:val="0052440A"/>
    <w:rsid w:val="00524526"/>
    <w:rsid w:val="005245E3"/>
    <w:rsid w:val="005252E9"/>
    <w:rsid w:val="00525AAE"/>
    <w:rsid w:val="00525B54"/>
    <w:rsid w:val="00525F6A"/>
    <w:rsid w:val="00526014"/>
    <w:rsid w:val="00526059"/>
    <w:rsid w:val="005260ED"/>
    <w:rsid w:val="00526DA5"/>
    <w:rsid w:val="005271BE"/>
    <w:rsid w:val="00527814"/>
    <w:rsid w:val="00527EFF"/>
    <w:rsid w:val="00530D81"/>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673"/>
    <w:rsid w:val="00545F41"/>
    <w:rsid w:val="005466AC"/>
    <w:rsid w:val="00546708"/>
    <w:rsid w:val="00546795"/>
    <w:rsid w:val="00546837"/>
    <w:rsid w:val="00546ADE"/>
    <w:rsid w:val="00546FBA"/>
    <w:rsid w:val="005472E8"/>
    <w:rsid w:val="00547EF7"/>
    <w:rsid w:val="0055090C"/>
    <w:rsid w:val="0055126A"/>
    <w:rsid w:val="00552035"/>
    <w:rsid w:val="00552054"/>
    <w:rsid w:val="005525E0"/>
    <w:rsid w:val="00552D1E"/>
    <w:rsid w:val="00552D90"/>
    <w:rsid w:val="00552EF8"/>
    <w:rsid w:val="0055320C"/>
    <w:rsid w:val="00553326"/>
    <w:rsid w:val="00553E20"/>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10D"/>
    <w:rsid w:val="00564200"/>
    <w:rsid w:val="00564402"/>
    <w:rsid w:val="005648E7"/>
    <w:rsid w:val="00564B19"/>
    <w:rsid w:val="00565071"/>
    <w:rsid w:val="00565155"/>
    <w:rsid w:val="005651D0"/>
    <w:rsid w:val="005651E0"/>
    <w:rsid w:val="0056552D"/>
    <w:rsid w:val="005661D7"/>
    <w:rsid w:val="005662A7"/>
    <w:rsid w:val="00566567"/>
    <w:rsid w:val="00567354"/>
    <w:rsid w:val="00567B98"/>
    <w:rsid w:val="00570982"/>
    <w:rsid w:val="00570E6C"/>
    <w:rsid w:val="0057118A"/>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4B"/>
    <w:rsid w:val="005750A9"/>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2BFA"/>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850"/>
    <w:rsid w:val="00592B95"/>
    <w:rsid w:val="00592D89"/>
    <w:rsid w:val="005939B1"/>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684"/>
    <w:rsid w:val="005A6B55"/>
    <w:rsid w:val="005A6EBA"/>
    <w:rsid w:val="005A73CA"/>
    <w:rsid w:val="005B08D0"/>
    <w:rsid w:val="005B0971"/>
    <w:rsid w:val="005B0D10"/>
    <w:rsid w:val="005B0EFF"/>
    <w:rsid w:val="005B0F70"/>
    <w:rsid w:val="005B0F7B"/>
    <w:rsid w:val="005B106C"/>
    <w:rsid w:val="005B1738"/>
    <w:rsid w:val="005B1B28"/>
    <w:rsid w:val="005B1CD4"/>
    <w:rsid w:val="005B1D44"/>
    <w:rsid w:val="005B1E40"/>
    <w:rsid w:val="005B298C"/>
    <w:rsid w:val="005B2B64"/>
    <w:rsid w:val="005B2FA6"/>
    <w:rsid w:val="005B3076"/>
    <w:rsid w:val="005B3A92"/>
    <w:rsid w:val="005B3E39"/>
    <w:rsid w:val="005B42D3"/>
    <w:rsid w:val="005B4DE6"/>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D9F"/>
    <w:rsid w:val="005C4F9B"/>
    <w:rsid w:val="005C538F"/>
    <w:rsid w:val="005C6288"/>
    <w:rsid w:val="005C6537"/>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BF6"/>
    <w:rsid w:val="005F1295"/>
    <w:rsid w:val="005F12D4"/>
    <w:rsid w:val="005F14A0"/>
    <w:rsid w:val="005F1B81"/>
    <w:rsid w:val="005F22FB"/>
    <w:rsid w:val="005F2635"/>
    <w:rsid w:val="005F2688"/>
    <w:rsid w:val="005F27DD"/>
    <w:rsid w:val="005F27F1"/>
    <w:rsid w:val="005F2915"/>
    <w:rsid w:val="005F2ADC"/>
    <w:rsid w:val="005F2D2D"/>
    <w:rsid w:val="005F319A"/>
    <w:rsid w:val="005F33FE"/>
    <w:rsid w:val="005F36DA"/>
    <w:rsid w:val="005F3C0F"/>
    <w:rsid w:val="005F3DD6"/>
    <w:rsid w:val="005F3EDF"/>
    <w:rsid w:val="005F446E"/>
    <w:rsid w:val="005F5080"/>
    <w:rsid w:val="005F5239"/>
    <w:rsid w:val="005F5328"/>
    <w:rsid w:val="005F57BC"/>
    <w:rsid w:val="005F5902"/>
    <w:rsid w:val="005F5942"/>
    <w:rsid w:val="005F5DF7"/>
    <w:rsid w:val="005F5E73"/>
    <w:rsid w:val="005F5E95"/>
    <w:rsid w:val="005F62FB"/>
    <w:rsid w:val="005F6998"/>
    <w:rsid w:val="005F6D1D"/>
    <w:rsid w:val="005F76C2"/>
    <w:rsid w:val="005F7A19"/>
    <w:rsid w:val="005F7A26"/>
    <w:rsid w:val="005F7C91"/>
    <w:rsid w:val="005F7D66"/>
    <w:rsid w:val="005F7DD1"/>
    <w:rsid w:val="005F7DEF"/>
    <w:rsid w:val="006001FB"/>
    <w:rsid w:val="00600374"/>
    <w:rsid w:val="006003F1"/>
    <w:rsid w:val="00600434"/>
    <w:rsid w:val="006004FC"/>
    <w:rsid w:val="00601150"/>
    <w:rsid w:val="00601779"/>
    <w:rsid w:val="00601AB4"/>
    <w:rsid w:val="006020CE"/>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97B"/>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79F"/>
    <w:rsid w:val="00622A0B"/>
    <w:rsid w:val="006231D3"/>
    <w:rsid w:val="00623FE0"/>
    <w:rsid w:val="00624C2B"/>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3EA"/>
    <w:rsid w:val="00634B0E"/>
    <w:rsid w:val="00634BC3"/>
    <w:rsid w:val="00635289"/>
    <w:rsid w:val="0063558F"/>
    <w:rsid w:val="006356AE"/>
    <w:rsid w:val="00635926"/>
    <w:rsid w:val="006362AA"/>
    <w:rsid w:val="0063631E"/>
    <w:rsid w:val="00636381"/>
    <w:rsid w:val="00636E05"/>
    <w:rsid w:val="00637442"/>
    <w:rsid w:val="00637603"/>
    <w:rsid w:val="0063776F"/>
    <w:rsid w:val="00637971"/>
    <w:rsid w:val="00637A09"/>
    <w:rsid w:val="00640165"/>
    <w:rsid w:val="006405B9"/>
    <w:rsid w:val="00640FAB"/>
    <w:rsid w:val="00641AD5"/>
    <w:rsid w:val="00641C98"/>
    <w:rsid w:val="00641CD3"/>
    <w:rsid w:val="0064299F"/>
    <w:rsid w:val="00642B20"/>
    <w:rsid w:val="0064317E"/>
    <w:rsid w:val="00643598"/>
    <w:rsid w:val="00643704"/>
    <w:rsid w:val="00643763"/>
    <w:rsid w:val="00643A4C"/>
    <w:rsid w:val="00643DFE"/>
    <w:rsid w:val="00643F6A"/>
    <w:rsid w:val="0064425A"/>
    <w:rsid w:val="006445F8"/>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5F6"/>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5D25"/>
    <w:rsid w:val="00656137"/>
    <w:rsid w:val="00656241"/>
    <w:rsid w:val="00656541"/>
    <w:rsid w:val="0065686A"/>
    <w:rsid w:val="006568D9"/>
    <w:rsid w:val="00656BE1"/>
    <w:rsid w:val="00656FB0"/>
    <w:rsid w:val="006570AF"/>
    <w:rsid w:val="006573B3"/>
    <w:rsid w:val="006578AD"/>
    <w:rsid w:val="00660114"/>
    <w:rsid w:val="00660450"/>
    <w:rsid w:val="006604EC"/>
    <w:rsid w:val="00660B12"/>
    <w:rsid w:val="00660B88"/>
    <w:rsid w:val="00660C47"/>
    <w:rsid w:val="00660C62"/>
    <w:rsid w:val="00660E4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4C4"/>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6DA"/>
    <w:rsid w:val="006A5A7D"/>
    <w:rsid w:val="006A5AB6"/>
    <w:rsid w:val="006A5B55"/>
    <w:rsid w:val="006A5D7B"/>
    <w:rsid w:val="006A63E9"/>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184D"/>
    <w:rsid w:val="006C1A4B"/>
    <w:rsid w:val="006C2010"/>
    <w:rsid w:val="006C20B7"/>
    <w:rsid w:val="006C2196"/>
    <w:rsid w:val="006C28B7"/>
    <w:rsid w:val="006C301F"/>
    <w:rsid w:val="006C39DC"/>
    <w:rsid w:val="006C3B91"/>
    <w:rsid w:val="006C3DDF"/>
    <w:rsid w:val="006C4A30"/>
    <w:rsid w:val="006C4E03"/>
    <w:rsid w:val="006C6024"/>
    <w:rsid w:val="006C680D"/>
    <w:rsid w:val="006C68D7"/>
    <w:rsid w:val="006C69C3"/>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6FDB"/>
    <w:rsid w:val="006D7134"/>
    <w:rsid w:val="006D71BE"/>
    <w:rsid w:val="006D73A6"/>
    <w:rsid w:val="006D78CD"/>
    <w:rsid w:val="006D7AF3"/>
    <w:rsid w:val="006D7BE0"/>
    <w:rsid w:val="006E040A"/>
    <w:rsid w:val="006E0940"/>
    <w:rsid w:val="006E0F08"/>
    <w:rsid w:val="006E16D8"/>
    <w:rsid w:val="006E1E68"/>
    <w:rsid w:val="006E21FB"/>
    <w:rsid w:val="006E2E90"/>
    <w:rsid w:val="006E31FA"/>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F0108"/>
    <w:rsid w:val="006F0486"/>
    <w:rsid w:val="006F054B"/>
    <w:rsid w:val="006F05A7"/>
    <w:rsid w:val="006F0683"/>
    <w:rsid w:val="006F0EB6"/>
    <w:rsid w:val="006F1086"/>
    <w:rsid w:val="006F115A"/>
    <w:rsid w:val="006F1EC8"/>
    <w:rsid w:val="006F2BCE"/>
    <w:rsid w:val="006F3B84"/>
    <w:rsid w:val="006F3C06"/>
    <w:rsid w:val="006F44DB"/>
    <w:rsid w:val="006F466A"/>
    <w:rsid w:val="006F4977"/>
    <w:rsid w:val="006F4FCD"/>
    <w:rsid w:val="006F5D88"/>
    <w:rsid w:val="006F616C"/>
    <w:rsid w:val="006F6214"/>
    <w:rsid w:val="006F63E4"/>
    <w:rsid w:val="006F657F"/>
    <w:rsid w:val="006F6BCB"/>
    <w:rsid w:val="006F70E0"/>
    <w:rsid w:val="006F78F4"/>
    <w:rsid w:val="006F7CC9"/>
    <w:rsid w:val="0070038E"/>
    <w:rsid w:val="0070091A"/>
    <w:rsid w:val="00700B19"/>
    <w:rsid w:val="00700CA1"/>
    <w:rsid w:val="00700D7E"/>
    <w:rsid w:val="00701BB3"/>
    <w:rsid w:val="00701D34"/>
    <w:rsid w:val="007023AC"/>
    <w:rsid w:val="007023B8"/>
    <w:rsid w:val="007027FF"/>
    <w:rsid w:val="00702C80"/>
    <w:rsid w:val="0070324A"/>
    <w:rsid w:val="00704077"/>
    <w:rsid w:val="00704143"/>
    <w:rsid w:val="007043CB"/>
    <w:rsid w:val="007043E1"/>
    <w:rsid w:val="00704752"/>
    <w:rsid w:val="007049A2"/>
    <w:rsid w:val="00704E56"/>
    <w:rsid w:val="007051E9"/>
    <w:rsid w:val="0070587A"/>
    <w:rsid w:val="007058D2"/>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734"/>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31A"/>
    <w:rsid w:val="007243CC"/>
    <w:rsid w:val="00724621"/>
    <w:rsid w:val="00724B70"/>
    <w:rsid w:val="00724E01"/>
    <w:rsid w:val="00724FE6"/>
    <w:rsid w:val="007253B0"/>
    <w:rsid w:val="0072580A"/>
    <w:rsid w:val="007259E7"/>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3B7"/>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08D3"/>
    <w:rsid w:val="00760E8C"/>
    <w:rsid w:val="00761833"/>
    <w:rsid w:val="00761864"/>
    <w:rsid w:val="007619B7"/>
    <w:rsid w:val="007624FC"/>
    <w:rsid w:val="007625A3"/>
    <w:rsid w:val="0076278D"/>
    <w:rsid w:val="00762A3E"/>
    <w:rsid w:val="00762E0D"/>
    <w:rsid w:val="00763049"/>
    <w:rsid w:val="0076385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F04"/>
    <w:rsid w:val="00773419"/>
    <w:rsid w:val="00773794"/>
    <w:rsid w:val="00773835"/>
    <w:rsid w:val="00773973"/>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574"/>
    <w:rsid w:val="0078661C"/>
    <w:rsid w:val="00786E22"/>
    <w:rsid w:val="00787035"/>
    <w:rsid w:val="0078711F"/>
    <w:rsid w:val="007871D6"/>
    <w:rsid w:val="0078724C"/>
    <w:rsid w:val="00787ADE"/>
    <w:rsid w:val="00790FE1"/>
    <w:rsid w:val="00791095"/>
    <w:rsid w:val="007910F3"/>
    <w:rsid w:val="00791421"/>
    <w:rsid w:val="007916A7"/>
    <w:rsid w:val="007916C7"/>
    <w:rsid w:val="007916EF"/>
    <w:rsid w:val="00791937"/>
    <w:rsid w:val="00791CE5"/>
    <w:rsid w:val="00791F68"/>
    <w:rsid w:val="00791FE7"/>
    <w:rsid w:val="0079214C"/>
    <w:rsid w:val="00792405"/>
    <w:rsid w:val="00792C00"/>
    <w:rsid w:val="0079328B"/>
    <w:rsid w:val="00793760"/>
    <w:rsid w:val="007937FD"/>
    <w:rsid w:val="00794246"/>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4A"/>
    <w:rsid w:val="007A066D"/>
    <w:rsid w:val="007A06F1"/>
    <w:rsid w:val="007A06FB"/>
    <w:rsid w:val="007A1009"/>
    <w:rsid w:val="007A1A6B"/>
    <w:rsid w:val="007A1ADE"/>
    <w:rsid w:val="007A1AEC"/>
    <w:rsid w:val="007A1D39"/>
    <w:rsid w:val="007A25FC"/>
    <w:rsid w:val="007A2611"/>
    <w:rsid w:val="007A2746"/>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12"/>
    <w:rsid w:val="007A5A5B"/>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69F2"/>
    <w:rsid w:val="007C7AD2"/>
    <w:rsid w:val="007C7F6B"/>
    <w:rsid w:val="007D0218"/>
    <w:rsid w:val="007D08FC"/>
    <w:rsid w:val="007D09AE"/>
    <w:rsid w:val="007D1711"/>
    <w:rsid w:val="007D1968"/>
    <w:rsid w:val="007D1F33"/>
    <w:rsid w:val="007D2344"/>
    <w:rsid w:val="007D2687"/>
    <w:rsid w:val="007D29B0"/>
    <w:rsid w:val="007D2A96"/>
    <w:rsid w:val="007D2B40"/>
    <w:rsid w:val="007D2C7D"/>
    <w:rsid w:val="007D2D19"/>
    <w:rsid w:val="007D2DA8"/>
    <w:rsid w:val="007D3860"/>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D7F0E"/>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1E9D"/>
    <w:rsid w:val="007F21B0"/>
    <w:rsid w:val="007F221B"/>
    <w:rsid w:val="007F26F2"/>
    <w:rsid w:val="007F2D88"/>
    <w:rsid w:val="007F3307"/>
    <w:rsid w:val="007F3388"/>
    <w:rsid w:val="007F33F7"/>
    <w:rsid w:val="007F38D8"/>
    <w:rsid w:val="007F396D"/>
    <w:rsid w:val="007F3B6E"/>
    <w:rsid w:val="007F3D80"/>
    <w:rsid w:val="007F55BC"/>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2C"/>
    <w:rsid w:val="00806A54"/>
    <w:rsid w:val="00806C9F"/>
    <w:rsid w:val="008072B5"/>
    <w:rsid w:val="00807B3A"/>
    <w:rsid w:val="00807C66"/>
    <w:rsid w:val="0081032D"/>
    <w:rsid w:val="008106EC"/>
    <w:rsid w:val="00810707"/>
    <w:rsid w:val="00810846"/>
    <w:rsid w:val="0081097F"/>
    <w:rsid w:val="0081099F"/>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F87"/>
    <w:rsid w:val="00817B5F"/>
    <w:rsid w:val="0082089E"/>
    <w:rsid w:val="00820C32"/>
    <w:rsid w:val="00820D5F"/>
    <w:rsid w:val="00820E81"/>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8AE"/>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51B9"/>
    <w:rsid w:val="008452BD"/>
    <w:rsid w:val="008452F0"/>
    <w:rsid w:val="008452F5"/>
    <w:rsid w:val="0084560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57F72"/>
    <w:rsid w:val="0086003C"/>
    <w:rsid w:val="008602EE"/>
    <w:rsid w:val="00860A95"/>
    <w:rsid w:val="00860AFB"/>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AD2"/>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8F5"/>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8F"/>
    <w:rsid w:val="00894EA3"/>
    <w:rsid w:val="0089580B"/>
    <w:rsid w:val="00895D63"/>
    <w:rsid w:val="00895FD5"/>
    <w:rsid w:val="0089600C"/>
    <w:rsid w:val="00896609"/>
    <w:rsid w:val="00896C5B"/>
    <w:rsid w:val="00896FE8"/>
    <w:rsid w:val="00897438"/>
    <w:rsid w:val="00897FF3"/>
    <w:rsid w:val="008A057A"/>
    <w:rsid w:val="008A065A"/>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6F1"/>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39FE"/>
    <w:rsid w:val="008B3BB1"/>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DD2"/>
    <w:rsid w:val="008C6F52"/>
    <w:rsid w:val="008C706F"/>
    <w:rsid w:val="008C7127"/>
    <w:rsid w:val="008C748D"/>
    <w:rsid w:val="008C781B"/>
    <w:rsid w:val="008C798A"/>
    <w:rsid w:val="008C7AD0"/>
    <w:rsid w:val="008C7D41"/>
    <w:rsid w:val="008C7E1B"/>
    <w:rsid w:val="008D0159"/>
    <w:rsid w:val="008D0218"/>
    <w:rsid w:val="008D039B"/>
    <w:rsid w:val="008D11E6"/>
    <w:rsid w:val="008D13EC"/>
    <w:rsid w:val="008D1581"/>
    <w:rsid w:val="008D1654"/>
    <w:rsid w:val="008D1809"/>
    <w:rsid w:val="008D1972"/>
    <w:rsid w:val="008D19D1"/>
    <w:rsid w:val="008D26B5"/>
    <w:rsid w:val="008D26C7"/>
    <w:rsid w:val="008D2729"/>
    <w:rsid w:val="008D3962"/>
    <w:rsid w:val="008D3C40"/>
    <w:rsid w:val="008D3F68"/>
    <w:rsid w:val="008D4224"/>
    <w:rsid w:val="008D43DC"/>
    <w:rsid w:val="008D508B"/>
    <w:rsid w:val="008D53A7"/>
    <w:rsid w:val="008D54A8"/>
    <w:rsid w:val="008D54E8"/>
    <w:rsid w:val="008D55B2"/>
    <w:rsid w:val="008D671D"/>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ADE"/>
    <w:rsid w:val="008E4BFC"/>
    <w:rsid w:val="008E4D12"/>
    <w:rsid w:val="008E4D61"/>
    <w:rsid w:val="008E4F5A"/>
    <w:rsid w:val="008E5015"/>
    <w:rsid w:val="008E58EC"/>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D3A"/>
    <w:rsid w:val="008F3053"/>
    <w:rsid w:val="008F3D84"/>
    <w:rsid w:val="008F3F2A"/>
    <w:rsid w:val="008F3FA0"/>
    <w:rsid w:val="008F4065"/>
    <w:rsid w:val="008F4866"/>
    <w:rsid w:val="008F486C"/>
    <w:rsid w:val="008F4BF4"/>
    <w:rsid w:val="008F5757"/>
    <w:rsid w:val="008F58E6"/>
    <w:rsid w:val="008F63BE"/>
    <w:rsid w:val="008F686C"/>
    <w:rsid w:val="008F6B86"/>
    <w:rsid w:val="008F6FAA"/>
    <w:rsid w:val="008F752F"/>
    <w:rsid w:val="008F76FD"/>
    <w:rsid w:val="008F7B05"/>
    <w:rsid w:val="008F7DEE"/>
    <w:rsid w:val="00900177"/>
    <w:rsid w:val="009001D5"/>
    <w:rsid w:val="00900303"/>
    <w:rsid w:val="00900394"/>
    <w:rsid w:val="009006B9"/>
    <w:rsid w:val="009009E4"/>
    <w:rsid w:val="0090109A"/>
    <w:rsid w:val="009013FD"/>
    <w:rsid w:val="009014B1"/>
    <w:rsid w:val="00901B9E"/>
    <w:rsid w:val="00901FD5"/>
    <w:rsid w:val="00902194"/>
    <w:rsid w:val="009022FA"/>
    <w:rsid w:val="0090230C"/>
    <w:rsid w:val="00902AC4"/>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3C90"/>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176"/>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DD7"/>
    <w:rsid w:val="00926ED5"/>
    <w:rsid w:val="00926F8D"/>
    <w:rsid w:val="00927005"/>
    <w:rsid w:val="0092778C"/>
    <w:rsid w:val="009277AA"/>
    <w:rsid w:val="00930048"/>
    <w:rsid w:val="009300CB"/>
    <w:rsid w:val="00930478"/>
    <w:rsid w:val="00930A80"/>
    <w:rsid w:val="00930B24"/>
    <w:rsid w:val="00930E8E"/>
    <w:rsid w:val="0093109F"/>
    <w:rsid w:val="009310CD"/>
    <w:rsid w:val="00931214"/>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77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57FA7"/>
    <w:rsid w:val="009602B4"/>
    <w:rsid w:val="0096043B"/>
    <w:rsid w:val="009604EB"/>
    <w:rsid w:val="00960857"/>
    <w:rsid w:val="00960947"/>
    <w:rsid w:val="0096172F"/>
    <w:rsid w:val="00961ACE"/>
    <w:rsid w:val="00961D40"/>
    <w:rsid w:val="00962131"/>
    <w:rsid w:val="0096245D"/>
    <w:rsid w:val="00962639"/>
    <w:rsid w:val="00962A9B"/>
    <w:rsid w:val="0096305F"/>
    <w:rsid w:val="0096314E"/>
    <w:rsid w:val="009637F0"/>
    <w:rsid w:val="00963FE5"/>
    <w:rsid w:val="009640CA"/>
    <w:rsid w:val="0096419A"/>
    <w:rsid w:val="00964760"/>
    <w:rsid w:val="00964798"/>
    <w:rsid w:val="00964F63"/>
    <w:rsid w:val="00965175"/>
    <w:rsid w:val="009651D8"/>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BB7"/>
    <w:rsid w:val="00972DAA"/>
    <w:rsid w:val="009732FF"/>
    <w:rsid w:val="009736CB"/>
    <w:rsid w:val="00973AA2"/>
    <w:rsid w:val="00973C20"/>
    <w:rsid w:val="00974463"/>
    <w:rsid w:val="00974987"/>
    <w:rsid w:val="00974A5A"/>
    <w:rsid w:val="00975666"/>
    <w:rsid w:val="0097595B"/>
    <w:rsid w:val="00975C0E"/>
    <w:rsid w:val="00975C6D"/>
    <w:rsid w:val="00975E60"/>
    <w:rsid w:val="00975F44"/>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82F"/>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49E"/>
    <w:rsid w:val="009A35D4"/>
    <w:rsid w:val="009A3B8C"/>
    <w:rsid w:val="009A40F9"/>
    <w:rsid w:val="009A413C"/>
    <w:rsid w:val="009A414B"/>
    <w:rsid w:val="009A42B5"/>
    <w:rsid w:val="009A43C8"/>
    <w:rsid w:val="009A48A1"/>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19C"/>
    <w:rsid w:val="009B6D42"/>
    <w:rsid w:val="009B6F62"/>
    <w:rsid w:val="009B727E"/>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F0F"/>
    <w:rsid w:val="009D065E"/>
    <w:rsid w:val="009D1223"/>
    <w:rsid w:val="009D1587"/>
    <w:rsid w:val="009D1B35"/>
    <w:rsid w:val="009D1C31"/>
    <w:rsid w:val="009D1EAC"/>
    <w:rsid w:val="009D2006"/>
    <w:rsid w:val="009D21B5"/>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4BF"/>
    <w:rsid w:val="009D76ED"/>
    <w:rsid w:val="009D7A8B"/>
    <w:rsid w:val="009D7D14"/>
    <w:rsid w:val="009D7E8F"/>
    <w:rsid w:val="009D7FA4"/>
    <w:rsid w:val="009E006B"/>
    <w:rsid w:val="009E01D9"/>
    <w:rsid w:val="009E0B61"/>
    <w:rsid w:val="009E0C95"/>
    <w:rsid w:val="009E0E28"/>
    <w:rsid w:val="009E0EC4"/>
    <w:rsid w:val="009E1141"/>
    <w:rsid w:val="009E14D0"/>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4B9"/>
    <w:rsid w:val="00A06643"/>
    <w:rsid w:val="00A06AF7"/>
    <w:rsid w:val="00A06E6C"/>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93"/>
    <w:rsid w:val="00A238DA"/>
    <w:rsid w:val="00A23967"/>
    <w:rsid w:val="00A239D0"/>
    <w:rsid w:val="00A23A21"/>
    <w:rsid w:val="00A23C32"/>
    <w:rsid w:val="00A23D11"/>
    <w:rsid w:val="00A23D42"/>
    <w:rsid w:val="00A24F46"/>
    <w:rsid w:val="00A258F2"/>
    <w:rsid w:val="00A25A55"/>
    <w:rsid w:val="00A25C24"/>
    <w:rsid w:val="00A26545"/>
    <w:rsid w:val="00A2672A"/>
    <w:rsid w:val="00A2686E"/>
    <w:rsid w:val="00A26D9F"/>
    <w:rsid w:val="00A26E0D"/>
    <w:rsid w:val="00A2765E"/>
    <w:rsid w:val="00A277D4"/>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830"/>
    <w:rsid w:val="00A3690E"/>
    <w:rsid w:val="00A3786B"/>
    <w:rsid w:val="00A37988"/>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4B9"/>
    <w:rsid w:val="00A44949"/>
    <w:rsid w:val="00A44AAA"/>
    <w:rsid w:val="00A451FA"/>
    <w:rsid w:val="00A45274"/>
    <w:rsid w:val="00A45AA5"/>
    <w:rsid w:val="00A45C86"/>
    <w:rsid w:val="00A45FE0"/>
    <w:rsid w:val="00A462CB"/>
    <w:rsid w:val="00A46561"/>
    <w:rsid w:val="00A466C2"/>
    <w:rsid w:val="00A47E70"/>
    <w:rsid w:val="00A47E71"/>
    <w:rsid w:val="00A5047F"/>
    <w:rsid w:val="00A511E3"/>
    <w:rsid w:val="00A51B75"/>
    <w:rsid w:val="00A51BCD"/>
    <w:rsid w:val="00A51F1F"/>
    <w:rsid w:val="00A5214F"/>
    <w:rsid w:val="00A533BD"/>
    <w:rsid w:val="00A53643"/>
    <w:rsid w:val="00A54057"/>
    <w:rsid w:val="00A542D2"/>
    <w:rsid w:val="00A5469D"/>
    <w:rsid w:val="00A54899"/>
    <w:rsid w:val="00A549EB"/>
    <w:rsid w:val="00A54A5C"/>
    <w:rsid w:val="00A54B05"/>
    <w:rsid w:val="00A54CB5"/>
    <w:rsid w:val="00A54D8A"/>
    <w:rsid w:val="00A55D76"/>
    <w:rsid w:val="00A55FDC"/>
    <w:rsid w:val="00A562AE"/>
    <w:rsid w:val="00A56FB9"/>
    <w:rsid w:val="00A5701B"/>
    <w:rsid w:val="00A57EA9"/>
    <w:rsid w:val="00A6011C"/>
    <w:rsid w:val="00A603A2"/>
    <w:rsid w:val="00A609FC"/>
    <w:rsid w:val="00A60BD0"/>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077"/>
    <w:rsid w:val="00A6740B"/>
    <w:rsid w:val="00A67787"/>
    <w:rsid w:val="00A6782E"/>
    <w:rsid w:val="00A70728"/>
    <w:rsid w:val="00A707C5"/>
    <w:rsid w:val="00A70954"/>
    <w:rsid w:val="00A70EB5"/>
    <w:rsid w:val="00A70F92"/>
    <w:rsid w:val="00A710BE"/>
    <w:rsid w:val="00A71147"/>
    <w:rsid w:val="00A716AB"/>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8743F"/>
    <w:rsid w:val="00A90364"/>
    <w:rsid w:val="00A903E1"/>
    <w:rsid w:val="00A90703"/>
    <w:rsid w:val="00A907D8"/>
    <w:rsid w:val="00A918A0"/>
    <w:rsid w:val="00A91A85"/>
    <w:rsid w:val="00A91DF9"/>
    <w:rsid w:val="00A91EA4"/>
    <w:rsid w:val="00A923A5"/>
    <w:rsid w:val="00A9287B"/>
    <w:rsid w:val="00A934E6"/>
    <w:rsid w:val="00A9376A"/>
    <w:rsid w:val="00A93D61"/>
    <w:rsid w:val="00A94CE1"/>
    <w:rsid w:val="00A9532D"/>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69A"/>
    <w:rsid w:val="00AA2FE1"/>
    <w:rsid w:val="00AA31F4"/>
    <w:rsid w:val="00AA357F"/>
    <w:rsid w:val="00AA3898"/>
    <w:rsid w:val="00AA39A2"/>
    <w:rsid w:val="00AA4009"/>
    <w:rsid w:val="00AA446F"/>
    <w:rsid w:val="00AA4F89"/>
    <w:rsid w:val="00AA506F"/>
    <w:rsid w:val="00AA522F"/>
    <w:rsid w:val="00AA5344"/>
    <w:rsid w:val="00AA53AD"/>
    <w:rsid w:val="00AA55A9"/>
    <w:rsid w:val="00AA59AA"/>
    <w:rsid w:val="00AA5F75"/>
    <w:rsid w:val="00AA62FA"/>
    <w:rsid w:val="00AA668C"/>
    <w:rsid w:val="00AA67AF"/>
    <w:rsid w:val="00AA686A"/>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B75"/>
    <w:rsid w:val="00AB6EC1"/>
    <w:rsid w:val="00AB7147"/>
    <w:rsid w:val="00AB7426"/>
    <w:rsid w:val="00AB777B"/>
    <w:rsid w:val="00AB79E0"/>
    <w:rsid w:val="00AC103E"/>
    <w:rsid w:val="00AC12F1"/>
    <w:rsid w:val="00AC17AB"/>
    <w:rsid w:val="00AC1E50"/>
    <w:rsid w:val="00AC1EAD"/>
    <w:rsid w:val="00AC2118"/>
    <w:rsid w:val="00AC23A0"/>
    <w:rsid w:val="00AC23A4"/>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9EA"/>
    <w:rsid w:val="00AD6BB6"/>
    <w:rsid w:val="00AD6C3C"/>
    <w:rsid w:val="00AD6EF8"/>
    <w:rsid w:val="00AD75A0"/>
    <w:rsid w:val="00AD766C"/>
    <w:rsid w:val="00AD7F93"/>
    <w:rsid w:val="00AE0668"/>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2FAC"/>
    <w:rsid w:val="00AF3665"/>
    <w:rsid w:val="00AF3DFC"/>
    <w:rsid w:val="00AF3EE9"/>
    <w:rsid w:val="00AF4742"/>
    <w:rsid w:val="00AF4794"/>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89A"/>
    <w:rsid w:val="00B019A3"/>
    <w:rsid w:val="00B01EC6"/>
    <w:rsid w:val="00B01ECA"/>
    <w:rsid w:val="00B0211F"/>
    <w:rsid w:val="00B02611"/>
    <w:rsid w:val="00B02CC2"/>
    <w:rsid w:val="00B02CF8"/>
    <w:rsid w:val="00B02DA7"/>
    <w:rsid w:val="00B0389E"/>
    <w:rsid w:val="00B03B0E"/>
    <w:rsid w:val="00B04047"/>
    <w:rsid w:val="00B046BE"/>
    <w:rsid w:val="00B04EAD"/>
    <w:rsid w:val="00B05ACE"/>
    <w:rsid w:val="00B05ED5"/>
    <w:rsid w:val="00B0610F"/>
    <w:rsid w:val="00B06614"/>
    <w:rsid w:val="00B06793"/>
    <w:rsid w:val="00B07257"/>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DA"/>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0B1"/>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3BA"/>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197"/>
    <w:rsid w:val="00B77294"/>
    <w:rsid w:val="00B7731F"/>
    <w:rsid w:val="00B776C2"/>
    <w:rsid w:val="00B77A7C"/>
    <w:rsid w:val="00B80304"/>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641"/>
    <w:rsid w:val="00B9671B"/>
    <w:rsid w:val="00B96957"/>
    <w:rsid w:val="00B96C02"/>
    <w:rsid w:val="00B97054"/>
    <w:rsid w:val="00B97989"/>
    <w:rsid w:val="00B97FF3"/>
    <w:rsid w:val="00BA05E9"/>
    <w:rsid w:val="00BA071B"/>
    <w:rsid w:val="00BA082B"/>
    <w:rsid w:val="00BA0AF6"/>
    <w:rsid w:val="00BA0D1A"/>
    <w:rsid w:val="00BA0E2D"/>
    <w:rsid w:val="00BA1014"/>
    <w:rsid w:val="00BA112B"/>
    <w:rsid w:val="00BA14E0"/>
    <w:rsid w:val="00BA1B72"/>
    <w:rsid w:val="00BA2024"/>
    <w:rsid w:val="00BA2287"/>
    <w:rsid w:val="00BA272B"/>
    <w:rsid w:val="00BA29A2"/>
    <w:rsid w:val="00BA3476"/>
    <w:rsid w:val="00BA3826"/>
    <w:rsid w:val="00BA403D"/>
    <w:rsid w:val="00BA4613"/>
    <w:rsid w:val="00BA4F77"/>
    <w:rsid w:val="00BA5037"/>
    <w:rsid w:val="00BA5063"/>
    <w:rsid w:val="00BA5719"/>
    <w:rsid w:val="00BA5C36"/>
    <w:rsid w:val="00BA5F0E"/>
    <w:rsid w:val="00BA6067"/>
    <w:rsid w:val="00BA6726"/>
    <w:rsid w:val="00BA6849"/>
    <w:rsid w:val="00BA7047"/>
    <w:rsid w:val="00BA76BB"/>
    <w:rsid w:val="00BA7981"/>
    <w:rsid w:val="00BA7B95"/>
    <w:rsid w:val="00BB03B5"/>
    <w:rsid w:val="00BB0456"/>
    <w:rsid w:val="00BB0711"/>
    <w:rsid w:val="00BB077F"/>
    <w:rsid w:val="00BB0812"/>
    <w:rsid w:val="00BB099B"/>
    <w:rsid w:val="00BB0E38"/>
    <w:rsid w:val="00BB163C"/>
    <w:rsid w:val="00BB182D"/>
    <w:rsid w:val="00BB32CF"/>
    <w:rsid w:val="00BB38F9"/>
    <w:rsid w:val="00BB436F"/>
    <w:rsid w:val="00BB44EF"/>
    <w:rsid w:val="00BB4939"/>
    <w:rsid w:val="00BB4B53"/>
    <w:rsid w:val="00BB4F3B"/>
    <w:rsid w:val="00BB540B"/>
    <w:rsid w:val="00BB59F5"/>
    <w:rsid w:val="00BB5BB5"/>
    <w:rsid w:val="00BB5DFC"/>
    <w:rsid w:val="00BB64D3"/>
    <w:rsid w:val="00BB68A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9B8"/>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6A4"/>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28D"/>
    <w:rsid w:val="00C15361"/>
    <w:rsid w:val="00C15D09"/>
    <w:rsid w:val="00C160F7"/>
    <w:rsid w:val="00C16604"/>
    <w:rsid w:val="00C16D30"/>
    <w:rsid w:val="00C175DB"/>
    <w:rsid w:val="00C17BFF"/>
    <w:rsid w:val="00C17D3C"/>
    <w:rsid w:val="00C208C2"/>
    <w:rsid w:val="00C2092D"/>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69C"/>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B4"/>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0026"/>
    <w:rsid w:val="00C41099"/>
    <w:rsid w:val="00C414AF"/>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386F"/>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0964"/>
    <w:rsid w:val="00C61333"/>
    <w:rsid w:val="00C61D94"/>
    <w:rsid w:val="00C620F4"/>
    <w:rsid w:val="00C62EEC"/>
    <w:rsid w:val="00C631DD"/>
    <w:rsid w:val="00C63879"/>
    <w:rsid w:val="00C63EA0"/>
    <w:rsid w:val="00C63F6F"/>
    <w:rsid w:val="00C64EA5"/>
    <w:rsid w:val="00C64F98"/>
    <w:rsid w:val="00C65244"/>
    <w:rsid w:val="00C65B5B"/>
    <w:rsid w:val="00C660C2"/>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748"/>
    <w:rsid w:val="00C769AF"/>
    <w:rsid w:val="00C76A8A"/>
    <w:rsid w:val="00C76CD9"/>
    <w:rsid w:val="00C76E30"/>
    <w:rsid w:val="00C802C1"/>
    <w:rsid w:val="00C809F2"/>
    <w:rsid w:val="00C80E02"/>
    <w:rsid w:val="00C80E7F"/>
    <w:rsid w:val="00C81278"/>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080"/>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C1"/>
    <w:rsid w:val="00C93EF0"/>
    <w:rsid w:val="00C93FCB"/>
    <w:rsid w:val="00C9425B"/>
    <w:rsid w:val="00C9433D"/>
    <w:rsid w:val="00C947B4"/>
    <w:rsid w:val="00C947EF"/>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D5B"/>
    <w:rsid w:val="00CB0F3C"/>
    <w:rsid w:val="00CB10FA"/>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E18"/>
    <w:rsid w:val="00CB6F1C"/>
    <w:rsid w:val="00CB7882"/>
    <w:rsid w:val="00CB7A9D"/>
    <w:rsid w:val="00CB7C9B"/>
    <w:rsid w:val="00CC0350"/>
    <w:rsid w:val="00CC08CD"/>
    <w:rsid w:val="00CC0D3B"/>
    <w:rsid w:val="00CC1026"/>
    <w:rsid w:val="00CC12AD"/>
    <w:rsid w:val="00CC1419"/>
    <w:rsid w:val="00CC14FA"/>
    <w:rsid w:val="00CC163F"/>
    <w:rsid w:val="00CC1706"/>
    <w:rsid w:val="00CC1A65"/>
    <w:rsid w:val="00CC1F18"/>
    <w:rsid w:val="00CC213F"/>
    <w:rsid w:val="00CC218B"/>
    <w:rsid w:val="00CC234C"/>
    <w:rsid w:val="00CC2531"/>
    <w:rsid w:val="00CC2A73"/>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C8"/>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2D7"/>
    <w:rsid w:val="00CE38A8"/>
    <w:rsid w:val="00CE4022"/>
    <w:rsid w:val="00CE4181"/>
    <w:rsid w:val="00CE4451"/>
    <w:rsid w:val="00CE45CF"/>
    <w:rsid w:val="00CE4932"/>
    <w:rsid w:val="00CE4B7F"/>
    <w:rsid w:val="00CE4CE2"/>
    <w:rsid w:val="00CE4FC8"/>
    <w:rsid w:val="00CE543C"/>
    <w:rsid w:val="00CE5488"/>
    <w:rsid w:val="00CE5A20"/>
    <w:rsid w:val="00CE63D0"/>
    <w:rsid w:val="00CE667C"/>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BA3"/>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EEE"/>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C06"/>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191"/>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2DBB"/>
    <w:rsid w:val="00D331C6"/>
    <w:rsid w:val="00D33CCE"/>
    <w:rsid w:val="00D34177"/>
    <w:rsid w:val="00D348FD"/>
    <w:rsid w:val="00D34C6C"/>
    <w:rsid w:val="00D3522A"/>
    <w:rsid w:val="00D3525D"/>
    <w:rsid w:val="00D361E7"/>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3E0C"/>
    <w:rsid w:val="00D545A7"/>
    <w:rsid w:val="00D547C4"/>
    <w:rsid w:val="00D54BBF"/>
    <w:rsid w:val="00D54D28"/>
    <w:rsid w:val="00D554F7"/>
    <w:rsid w:val="00D55EAC"/>
    <w:rsid w:val="00D55EEC"/>
    <w:rsid w:val="00D5603E"/>
    <w:rsid w:val="00D563CE"/>
    <w:rsid w:val="00D563D2"/>
    <w:rsid w:val="00D565A0"/>
    <w:rsid w:val="00D566BD"/>
    <w:rsid w:val="00D56706"/>
    <w:rsid w:val="00D56DA7"/>
    <w:rsid w:val="00D56DF9"/>
    <w:rsid w:val="00D56E60"/>
    <w:rsid w:val="00D57297"/>
    <w:rsid w:val="00D57756"/>
    <w:rsid w:val="00D57F67"/>
    <w:rsid w:val="00D602B5"/>
    <w:rsid w:val="00D602FB"/>
    <w:rsid w:val="00D6074B"/>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BE9"/>
    <w:rsid w:val="00D65D40"/>
    <w:rsid w:val="00D65DC2"/>
    <w:rsid w:val="00D6603D"/>
    <w:rsid w:val="00D66541"/>
    <w:rsid w:val="00D66677"/>
    <w:rsid w:val="00D66A32"/>
    <w:rsid w:val="00D66ECD"/>
    <w:rsid w:val="00D67161"/>
    <w:rsid w:val="00D6719E"/>
    <w:rsid w:val="00D67558"/>
    <w:rsid w:val="00D678F5"/>
    <w:rsid w:val="00D702BC"/>
    <w:rsid w:val="00D70511"/>
    <w:rsid w:val="00D70C79"/>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540"/>
    <w:rsid w:val="00D77AED"/>
    <w:rsid w:val="00D804A1"/>
    <w:rsid w:val="00D804F5"/>
    <w:rsid w:val="00D807A4"/>
    <w:rsid w:val="00D80A9F"/>
    <w:rsid w:val="00D80BD8"/>
    <w:rsid w:val="00D80C77"/>
    <w:rsid w:val="00D810F4"/>
    <w:rsid w:val="00D813AD"/>
    <w:rsid w:val="00D821DC"/>
    <w:rsid w:val="00D82BF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8DF"/>
    <w:rsid w:val="00D90C31"/>
    <w:rsid w:val="00D90F55"/>
    <w:rsid w:val="00D91050"/>
    <w:rsid w:val="00D91A96"/>
    <w:rsid w:val="00D91EBC"/>
    <w:rsid w:val="00D921AF"/>
    <w:rsid w:val="00D92331"/>
    <w:rsid w:val="00D923B3"/>
    <w:rsid w:val="00D923C2"/>
    <w:rsid w:val="00D92A27"/>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490"/>
    <w:rsid w:val="00DB17CD"/>
    <w:rsid w:val="00DB1BB7"/>
    <w:rsid w:val="00DB249B"/>
    <w:rsid w:val="00DB297A"/>
    <w:rsid w:val="00DB2CDB"/>
    <w:rsid w:val="00DB2E03"/>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DDC"/>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93"/>
    <w:rsid w:val="00DD59B1"/>
    <w:rsid w:val="00DD70B3"/>
    <w:rsid w:val="00DD7E0C"/>
    <w:rsid w:val="00DD7E31"/>
    <w:rsid w:val="00DE0175"/>
    <w:rsid w:val="00DE027F"/>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4C6"/>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1E"/>
    <w:rsid w:val="00E06B9A"/>
    <w:rsid w:val="00E06D96"/>
    <w:rsid w:val="00E073D9"/>
    <w:rsid w:val="00E078AD"/>
    <w:rsid w:val="00E07BED"/>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1E8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75A"/>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4DE2"/>
    <w:rsid w:val="00E55358"/>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DCA"/>
    <w:rsid w:val="00E62EAF"/>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B9E"/>
    <w:rsid w:val="00E71C20"/>
    <w:rsid w:val="00E72841"/>
    <w:rsid w:val="00E728AE"/>
    <w:rsid w:val="00E72919"/>
    <w:rsid w:val="00E72C46"/>
    <w:rsid w:val="00E73078"/>
    <w:rsid w:val="00E731FB"/>
    <w:rsid w:val="00E73761"/>
    <w:rsid w:val="00E73780"/>
    <w:rsid w:val="00E73A10"/>
    <w:rsid w:val="00E73B2F"/>
    <w:rsid w:val="00E73C58"/>
    <w:rsid w:val="00E73CA5"/>
    <w:rsid w:val="00E73F7D"/>
    <w:rsid w:val="00E743B9"/>
    <w:rsid w:val="00E74611"/>
    <w:rsid w:val="00E7475A"/>
    <w:rsid w:val="00E74882"/>
    <w:rsid w:val="00E749D8"/>
    <w:rsid w:val="00E75435"/>
    <w:rsid w:val="00E75565"/>
    <w:rsid w:val="00E7564A"/>
    <w:rsid w:val="00E75D93"/>
    <w:rsid w:val="00E765F9"/>
    <w:rsid w:val="00E7672E"/>
    <w:rsid w:val="00E77016"/>
    <w:rsid w:val="00E77710"/>
    <w:rsid w:val="00E77914"/>
    <w:rsid w:val="00E779A9"/>
    <w:rsid w:val="00E77BD2"/>
    <w:rsid w:val="00E80276"/>
    <w:rsid w:val="00E8069C"/>
    <w:rsid w:val="00E8093D"/>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CBE"/>
    <w:rsid w:val="00E90DD2"/>
    <w:rsid w:val="00E90E48"/>
    <w:rsid w:val="00E90E9D"/>
    <w:rsid w:val="00E90EDF"/>
    <w:rsid w:val="00E90F32"/>
    <w:rsid w:val="00E9149E"/>
    <w:rsid w:val="00E91CD0"/>
    <w:rsid w:val="00E9202E"/>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34D"/>
    <w:rsid w:val="00E97FE7"/>
    <w:rsid w:val="00EA0078"/>
    <w:rsid w:val="00EA063E"/>
    <w:rsid w:val="00EA0781"/>
    <w:rsid w:val="00EA0917"/>
    <w:rsid w:val="00EA1324"/>
    <w:rsid w:val="00EA14D4"/>
    <w:rsid w:val="00EA14DE"/>
    <w:rsid w:val="00EA1BAC"/>
    <w:rsid w:val="00EA1C64"/>
    <w:rsid w:val="00EA1FC0"/>
    <w:rsid w:val="00EA2336"/>
    <w:rsid w:val="00EA2670"/>
    <w:rsid w:val="00EA2F17"/>
    <w:rsid w:val="00EA2FFB"/>
    <w:rsid w:val="00EA3165"/>
    <w:rsid w:val="00EA3369"/>
    <w:rsid w:val="00EA356D"/>
    <w:rsid w:val="00EA361E"/>
    <w:rsid w:val="00EA36E6"/>
    <w:rsid w:val="00EA3720"/>
    <w:rsid w:val="00EA38B6"/>
    <w:rsid w:val="00EA390E"/>
    <w:rsid w:val="00EA3D84"/>
    <w:rsid w:val="00EA46F1"/>
    <w:rsid w:val="00EA536B"/>
    <w:rsid w:val="00EA598A"/>
    <w:rsid w:val="00EA5DDC"/>
    <w:rsid w:val="00EA613C"/>
    <w:rsid w:val="00EA631E"/>
    <w:rsid w:val="00EA6E77"/>
    <w:rsid w:val="00EA70B7"/>
    <w:rsid w:val="00EA7757"/>
    <w:rsid w:val="00EA78DB"/>
    <w:rsid w:val="00EA7FE6"/>
    <w:rsid w:val="00EB056D"/>
    <w:rsid w:val="00EB08DF"/>
    <w:rsid w:val="00EB09CA"/>
    <w:rsid w:val="00EB0A5F"/>
    <w:rsid w:val="00EB13BF"/>
    <w:rsid w:val="00EB1749"/>
    <w:rsid w:val="00EB1D63"/>
    <w:rsid w:val="00EB1E5A"/>
    <w:rsid w:val="00EB28C8"/>
    <w:rsid w:val="00EB2928"/>
    <w:rsid w:val="00EB292A"/>
    <w:rsid w:val="00EB2A09"/>
    <w:rsid w:val="00EB2F6C"/>
    <w:rsid w:val="00EB3984"/>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4C8"/>
    <w:rsid w:val="00EC2546"/>
    <w:rsid w:val="00EC2664"/>
    <w:rsid w:val="00EC26A0"/>
    <w:rsid w:val="00EC2FE0"/>
    <w:rsid w:val="00EC333A"/>
    <w:rsid w:val="00EC365B"/>
    <w:rsid w:val="00EC39CB"/>
    <w:rsid w:val="00EC3CA6"/>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0E3"/>
    <w:rsid w:val="00ED398A"/>
    <w:rsid w:val="00ED3EF4"/>
    <w:rsid w:val="00ED3EFD"/>
    <w:rsid w:val="00ED47AE"/>
    <w:rsid w:val="00ED4E1F"/>
    <w:rsid w:val="00ED4F1E"/>
    <w:rsid w:val="00ED52FB"/>
    <w:rsid w:val="00ED59EA"/>
    <w:rsid w:val="00ED5AA8"/>
    <w:rsid w:val="00ED5C6F"/>
    <w:rsid w:val="00ED5C79"/>
    <w:rsid w:val="00ED5E9E"/>
    <w:rsid w:val="00ED6CFA"/>
    <w:rsid w:val="00ED6F58"/>
    <w:rsid w:val="00ED7047"/>
    <w:rsid w:val="00ED709A"/>
    <w:rsid w:val="00ED75F9"/>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95D"/>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2E4"/>
    <w:rsid w:val="00F1244C"/>
    <w:rsid w:val="00F12C4A"/>
    <w:rsid w:val="00F12D76"/>
    <w:rsid w:val="00F12FB1"/>
    <w:rsid w:val="00F138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84B"/>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778"/>
    <w:rsid w:val="00F33820"/>
    <w:rsid w:val="00F33A45"/>
    <w:rsid w:val="00F33CC3"/>
    <w:rsid w:val="00F34190"/>
    <w:rsid w:val="00F341FF"/>
    <w:rsid w:val="00F343DD"/>
    <w:rsid w:val="00F343F6"/>
    <w:rsid w:val="00F345B0"/>
    <w:rsid w:val="00F34677"/>
    <w:rsid w:val="00F35222"/>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052"/>
    <w:rsid w:val="00F4225C"/>
    <w:rsid w:val="00F42263"/>
    <w:rsid w:val="00F422FE"/>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205"/>
    <w:rsid w:val="00F56C19"/>
    <w:rsid w:val="00F56F20"/>
    <w:rsid w:val="00F57BD5"/>
    <w:rsid w:val="00F57CC4"/>
    <w:rsid w:val="00F600F5"/>
    <w:rsid w:val="00F60366"/>
    <w:rsid w:val="00F604A4"/>
    <w:rsid w:val="00F6132A"/>
    <w:rsid w:val="00F61F7A"/>
    <w:rsid w:val="00F625BA"/>
    <w:rsid w:val="00F62A3B"/>
    <w:rsid w:val="00F62B51"/>
    <w:rsid w:val="00F62B7C"/>
    <w:rsid w:val="00F62CA1"/>
    <w:rsid w:val="00F6323A"/>
    <w:rsid w:val="00F63426"/>
    <w:rsid w:val="00F63889"/>
    <w:rsid w:val="00F63A91"/>
    <w:rsid w:val="00F63AD4"/>
    <w:rsid w:val="00F63D3B"/>
    <w:rsid w:val="00F64223"/>
    <w:rsid w:val="00F64389"/>
    <w:rsid w:val="00F64862"/>
    <w:rsid w:val="00F648EC"/>
    <w:rsid w:val="00F648F3"/>
    <w:rsid w:val="00F64ADA"/>
    <w:rsid w:val="00F64DF8"/>
    <w:rsid w:val="00F64F12"/>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BB5"/>
    <w:rsid w:val="00F81CE9"/>
    <w:rsid w:val="00F825CC"/>
    <w:rsid w:val="00F82694"/>
    <w:rsid w:val="00F826ED"/>
    <w:rsid w:val="00F82D5B"/>
    <w:rsid w:val="00F82F9E"/>
    <w:rsid w:val="00F832E5"/>
    <w:rsid w:val="00F83A90"/>
    <w:rsid w:val="00F84046"/>
    <w:rsid w:val="00F842BF"/>
    <w:rsid w:val="00F84438"/>
    <w:rsid w:val="00F8459E"/>
    <w:rsid w:val="00F84699"/>
    <w:rsid w:val="00F849BF"/>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2FF6"/>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97EF9"/>
    <w:rsid w:val="00FA0599"/>
    <w:rsid w:val="00FA098A"/>
    <w:rsid w:val="00FA0B5A"/>
    <w:rsid w:val="00FA0BA9"/>
    <w:rsid w:val="00FA0CCC"/>
    <w:rsid w:val="00FA1079"/>
    <w:rsid w:val="00FA11C4"/>
    <w:rsid w:val="00FA1695"/>
    <w:rsid w:val="00FA1B5D"/>
    <w:rsid w:val="00FA2294"/>
    <w:rsid w:val="00FA2496"/>
    <w:rsid w:val="00FA2963"/>
    <w:rsid w:val="00FA2CD1"/>
    <w:rsid w:val="00FA3312"/>
    <w:rsid w:val="00FA3F4B"/>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222"/>
    <w:rsid w:val="00FB54F6"/>
    <w:rsid w:val="00FB582F"/>
    <w:rsid w:val="00FB6331"/>
    <w:rsid w:val="00FB6386"/>
    <w:rsid w:val="00FB6E25"/>
    <w:rsid w:val="00FB728C"/>
    <w:rsid w:val="00FB7791"/>
    <w:rsid w:val="00FB7A26"/>
    <w:rsid w:val="00FB7FF7"/>
    <w:rsid w:val="00FC0038"/>
    <w:rsid w:val="00FC0404"/>
    <w:rsid w:val="00FC0607"/>
    <w:rsid w:val="00FC0C0B"/>
    <w:rsid w:val="00FC10B6"/>
    <w:rsid w:val="00FC13C4"/>
    <w:rsid w:val="00FC1733"/>
    <w:rsid w:val="00FC19BA"/>
    <w:rsid w:val="00FC1CAD"/>
    <w:rsid w:val="00FC20F9"/>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5E58"/>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B61"/>
    <w:rsid w:val="00FF2C8F"/>
    <w:rsid w:val="00FF30F5"/>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 w:val="0420288A"/>
    <w:rsid w:val="04B10AFC"/>
    <w:rsid w:val="0552151C"/>
    <w:rsid w:val="05B8100C"/>
    <w:rsid w:val="06093B54"/>
    <w:rsid w:val="06B30C3C"/>
    <w:rsid w:val="0738250F"/>
    <w:rsid w:val="07D948A2"/>
    <w:rsid w:val="07E55CEF"/>
    <w:rsid w:val="0A184362"/>
    <w:rsid w:val="0A2017AE"/>
    <w:rsid w:val="0A5B27F1"/>
    <w:rsid w:val="0A683CE8"/>
    <w:rsid w:val="0AC62437"/>
    <w:rsid w:val="0AC90E44"/>
    <w:rsid w:val="0BF27156"/>
    <w:rsid w:val="0E3910CB"/>
    <w:rsid w:val="0EAC71E6"/>
    <w:rsid w:val="102F43C1"/>
    <w:rsid w:val="11111654"/>
    <w:rsid w:val="111A49B9"/>
    <w:rsid w:val="11BF7683"/>
    <w:rsid w:val="127722EF"/>
    <w:rsid w:val="12BC4A41"/>
    <w:rsid w:val="136A39FA"/>
    <w:rsid w:val="15771EBF"/>
    <w:rsid w:val="15F944C0"/>
    <w:rsid w:val="16184DF8"/>
    <w:rsid w:val="16565DA9"/>
    <w:rsid w:val="17AB4187"/>
    <w:rsid w:val="180164AD"/>
    <w:rsid w:val="186507D6"/>
    <w:rsid w:val="18BB13E5"/>
    <w:rsid w:val="196C0476"/>
    <w:rsid w:val="1A07039A"/>
    <w:rsid w:val="1B445132"/>
    <w:rsid w:val="1B5A0A82"/>
    <w:rsid w:val="1B9474CC"/>
    <w:rsid w:val="1BA1180B"/>
    <w:rsid w:val="1BD75684"/>
    <w:rsid w:val="1BDB226C"/>
    <w:rsid w:val="1BE23BB4"/>
    <w:rsid w:val="1C295C8F"/>
    <w:rsid w:val="1D7238EE"/>
    <w:rsid w:val="1E123BBD"/>
    <w:rsid w:val="1E442E90"/>
    <w:rsid w:val="1E830126"/>
    <w:rsid w:val="1EDE4427"/>
    <w:rsid w:val="1F431144"/>
    <w:rsid w:val="1F444269"/>
    <w:rsid w:val="1FC30BF8"/>
    <w:rsid w:val="20A56BB8"/>
    <w:rsid w:val="20F26991"/>
    <w:rsid w:val="22A83797"/>
    <w:rsid w:val="22D3657D"/>
    <w:rsid w:val="232E57ED"/>
    <w:rsid w:val="234A032F"/>
    <w:rsid w:val="23DE7D2B"/>
    <w:rsid w:val="2596607E"/>
    <w:rsid w:val="26751E12"/>
    <w:rsid w:val="26CC7EEB"/>
    <w:rsid w:val="284A71CE"/>
    <w:rsid w:val="28C329FB"/>
    <w:rsid w:val="29F12F1D"/>
    <w:rsid w:val="2B13029E"/>
    <w:rsid w:val="2B1A3EEA"/>
    <w:rsid w:val="2B714791"/>
    <w:rsid w:val="2BF40099"/>
    <w:rsid w:val="2C735F2C"/>
    <w:rsid w:val="2C960849"/>
    <w:rsid w:val="2CC219E4"/>
    <w:rsid w:val="2D6A457B"/>
    <w:rsid w:val="2DB65B32"/>
    <w:rsid w:val="2E876E13"/>
    <w:rsid w:val="2EE34918"/>
    <w:rsid w:val="2FD979D3"/>
    <w:rsid w:val="30205D3E"/>
    <w:rsid w:val="30CA132A"/>
    <w:rsid w:val="33E62472"/>
    <w:rsid w:val="349A2885"/>
    <w:rsid w:val="36AA1746"/>
    <w:rsid w:val="36CF3738"/>
    <w:rsid w:val="36D97673"/>
    <w:rsid w:val="373C23C5"/>
    <w:rsid w:val="37E76D9B"/>
    <w:rsid w:val="3820659A"/>
    <w:rsid w:val="38596EEF"/>
    <w:rsid w:val="38CA7521"/>
    <w:rsid w:val="39AE7BEB"/>
    <w:rsid w:val="3A031005"/>
    <w:rsid w:val="3A15323F"/>
    <w:rsid w:val="3A535449"/>
    <w:rsid w:val="3D87445E"/>
    <w:rsid w:val="3DC56939"/>
    <w:rsid w:val="3E1640A1"/>
    <w:rsid w:val="3F2C281A"/>
    <w:rsid w:val="418201D1"/>
    <w:rsid w:val="41C44D7A"/>
    <w:rsid w:val="41E37992"/>
    <w:rsid w:val="429652A0"/>
    <w:rsid w:val="42CA2A45"/>
    <w:rsid w:val="43B171BE"/>
    <w:rsid w:val="44B77F41"/>
    <w:rsid w:val="451452C2"/>
    <w:rsid w:val="4519355C"/>
    <w:rsid w:val="45527522"/>
    <w:rsid w:val="45935151"/>
    <w:rsid w:val="46020075"/>
    <w:rsid w:val="4619750F"/>
    <w:rsid w:val="46504A32"/>
    <w:rsid w:val="47E156A3"/>
    <w:rsid w:val="47F94418"/>
    <w:rsid w:val="48533D3D"/>
    <w:rsid w:val="48B62E85"/>
    <w:rsid w:val="498D2703"/>
    <w:rsid w:val="4B0F7EF2"/>
    <w:rsid w:val="4B4D44C7"/>
    <w:rsid w:val="4BAF31B1"/>
    <w:rsid w:val="4BCB3568"/>
    <w:rsid w:val="4C436F3E"/>
    <w:rsid w:val="4CB20628"/>
    <w:rsid w:val="4E680486"/>
    <w:rsid w:val="4EE36F6F"/>
    <w:rsid w:val="4EF136CA"/>
    <w:rsid w:val="4F1F6BD1"/>
    <w:rsid w:val="4F7C15CF"/>
    <w:rsid w:val="505D50CC"/>
    <w:rsid w:val="52526BA4"/>
    <w:rsid w:val="52A20151"/>
    <w:rsid w:val="52AD4EE4"/>
    <w:rsid w:val="53F917C0"/>
    <w:rsid w:val="542C1437"/>
    <w:rsid w:val="549B74CC"/>
    <w:rsid w:val="56120F31"/>
    <w:rsid w:val="56402451"/>
    <w:rsid w:val="56915BDF"/>
    <w:rsid w:val="570C6133"/>
    <w:rsid w:val="57C42236"/>
    <w:rsid w:val="5800727F"/>
    <w:rsid w:val="5A2914E3"/>
    <w:rsid w:val="5A474965"/>
    <w:rsid w:val="5B1335DF"/>
    <w:rsid w:val="5C3F654F"/>
    <w:rsid w:val="5CB1665B"/>
    <w:rsid w:val="5D661484"/>
    <w:rsid w:val="5F1C60ED"/>
    <w:rsid w:val="5F534DCD"/>
    <w:rsid w:val="5FC046B3"/>
    <w:rsid w:val="60121151"/>
    <w:rsid w:val="60702DDE"/>
    <w:rsid w:val="60D65546"/>
    <w:rsid w:val="618541B3"/>
    <w:rsid w:val="61F544FC"/>
    <w:rsid w:val="62321D65"/>
    <w:rsid w:val="62D46B90"/>
    <w:rsid w:val="655D0854"/>
    <w:rsid w:val="655F086F"/>
    <w:rsid w:val="65A43F0F"/>
    <w:rsid w:val="65C72038"/>
    <w:rsid w:val="663569EF"/>
    <w:rsid w:val="672D15CE"/>
    <w:rsid w:val="677D5D88"/>
    <w:rsid w:val="68DD5E0E"/>
    <w:rsid w:val="693A1654"/>
    <w:rsid w:val="69B56863"/>
    <w:rsid w:val="6A087E6D"/>
    <w:rsid w:val="6AAD4D08"/>
    <w:rsid w:val="6BB215BF"/>
    <w:rsid w:val="6BC81DC6"/>
    <w:rsid w:val="6BEF0F64"/>
    <w:rsid w:val="6C644099"/>
    <w:rsid w:val="6C8B34E0"/>
    <w:rsid w:val="6E5A4128"/>
    <w:rsid w:val="6F30709E"/>
    <w:rsid w:val="6F4C052A"/>
    <w:rsid w:val="6F4D4F08"/>
    <w:rsid w:val="6FC04E2C"/>
    <w:rsid w:val="7081289D"/>
    <w:rsid w:val="71D43C87"/>
    <w:rsid w:val="726763DE"/>
    <w:rsid w:val="726E240B"/>
    <w:rsid w:val="74014557"/>
    <w:rsid w:val="75044803"/>
    <w:rsid w:val="76A25AF0"/>
    <w:rsid w:val="76EE0970"/>
    <w:rsid w:val="76FF2264"/>
    <w:rsid w:val="77A77B42"/>
    <w:rsid w:val="78221AC7"/>
    <w:rsid w:val="7875355B"/>
    <w:rsid w:val="78E0224A"/>
    <w:rsid w:val="79394DB7"/>
    <w:rsid w:val="796C1277"/>
    <w:rsid w:val="7AA74B02"/>
    <w:rsid w:val="7AD37007"/>
    <w:rsid w:val="7B827DBA"/>
    <w:rsid w:val="7BB86DA3"/>
    <w:rsid w:val="7BB91C30"/>
    <w:rsid w:val="7C5E336B"/>
    <w:rsid w:val="7D6B528C"/>
    <w:rsid w:val="7D6B688C"/>
    <w:rsid w:val="7DD23856"/>
    <w:rsid w:val="7E477D41"/>
    <w:rsid w:val="7EC90CF8"/>
    <w:rsid w:val="7FBB46C6"/>
    <w:rsid w:val="7FC27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7"/>
    <w:qFormat/>
    <w:uiPriority w:val="9"/>
    <w:pPr>
      <w:keepNext/>
      <w:keepLines/>
      <w:numPr>
        <w:ilvl w:val="0"/>
        <w:numId w:val="1"/>
      </w:numPr>
      <w:pBdr>
        <w:top w:val="single" w:color="auto" w:sz="12" w:space="3"/>
      </w:pBdr>
      <w:spacing w:before="240" w:after="180"/>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numPr>
        <w:ilvl w:val="1"/>
      </w:numPr>
      <w:pBdr>
        <w:top w:val="none" w:color="auto" w:sz="0" w:space="0"/>
      </w:pBdr>
      <w:spacing w:before="180"/>
      <w:outlineLvl w:val="1"/>
    </w:pPr>
    <w:rPr>
      <w:sz w:val="32"/>
    </w:rPr>
  </w:style>
  <w:style w:type="paragraph" w:styleId="4">
    <w:name w:val="heading 3"/>
    <w:basedOn w:val="3"/>
    <w:next w:val="1"/>
    <w:qFormat/>
    <w:uiPriority w:val="0"/>
    <w:pPr>
      <w:numPr>
        <w:ilvl w:val="2"/>
      </w:numPr>
      <w:spacing w:before="120"/>
      <w:outlineLvl w:val="2"/>
    </w:pPr>
    <w:rPr>
      <w:sz w:val="28"/>
    </w:r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s>
      <w:outlineLvl w:val="5"/>
    </w:pPr>
  </w:style>
  <w:style w:type="paragraph" w:styleId="9">
    <w:name w:val="heading 7"/>
    <w:basedOn w:val="8"/>
    <w:next w:val="1"/>
    <w:qFormat/>
    <w:uiPriority w:val="0"/>
    <w:pPr>
      <w:numPr>
        <w:ilvl w:val="6"/>
      </w:numPr>
      <w:tabs>
        <w:tab w:val="left" w:pos="432"/>
      </w:tabs>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6">
    <w:name w:val="Default Paragraph Font"/>
    <w:semiHidden/>
    <w:unhideWhenUsed/>
    <w:qFormat/>
    <w:uiPriority w:val="1"/>
  </w:style>
  <w:style w:type="table" w:default="1" w:styleId="5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20"/>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unhideWhenUsed/>
    <w:qFormat/>
    <w:uiPriority w:val="35"/>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99"/>
    <w:qFormat/>
    <w:uiPriority w:val="0"/>
    <w:pPr>
      <w:spacing w:after="0"/>
    </w:pPr>
    <w:rPr>
      <w:sz w:val="24"/>
      <w:szCs w:val="24"/>
      <w:lang w:val="en-US"/>
    </w:rPr>
  </w:style>
  <w:style w:type="paragraph" w:styleId="33">
    <w:name w:val="Body Text Indent"/>
    <w:basedOn w:val="1"/>
    <w:qFormat/>
    <w:uiPriority w:val="0"/>
    <w:pPr>
      <w:spacing w:after="120"/>
      <w:ind w:left="283"/>
    </w:pPr>
  </w:style>
  <w:style w:type="paragraph" w:styleId="34">
    <w:name w:val="List Bullet 5"/>
    <w:basedOn w:val="26"/>
    <w:qFormat/>
    <w:uiPriority w:val="0"/>
    <w:pPr>
      <w:ind w:left="1702"/>
    </w:pPr>
  </w:style>
  <w:style w:type="paragraph" w:styleId="35">
    <w:name w:val="toc 8"/>
    <w:basedOn w:val="23"/>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31"/>
    <w:qFormat/>
    <w:uiPriority w:val="0"/>
    <w:pPr>
      <w:jc w:val="center"/>
    </w:pPr>
    <w:rPr>
      <w:i/>
    </w:rPr>
  </w:style>
  <w:style w:type="paragraph" w:styleId="38">
    <w:name w:val="header"/>
    <w:basedOn w:val="1"/>
    <w:link w:val="118"/>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17"/>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semiHidden/>
    <w:qFormat/>
    <w:uiPriority w:val="0"/>
    <w:pPr>
      <w:ind w:left="1418" w:hanging="1418"/>
    </w:pPr>
  </w:style>
  <w:style w:type="paragraph" w:styleId="43">
    <w:name w:val="Normal (Web)"/>
    <w:basedOn w:val="1"/>
    <w:qFormat/>
    <w:uiPriority w:val="99"/>
    <w:rPr>
      <w:sz w:val="24"/>
      <w:szCs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character" w:styleId="47">
    <w:name w:val="page number"/>
    <w:basedOn w:val="46"/>
    <w:qFormat/>
    <w:uiPriority w:val="0"/>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111"/>
    <w:qFormat/>
    <w:uiPriority w:val="0"/>
    <w:rPr>
      <w:b/>
    </w:rPr>
  </w:style>
  <w:style w:type="paragraph" w:customStyle="1" w:styleId="58">
    <w:name w:val="TAC"/>
    <w:basedOn w:val="59"/>
    <w:link w:val="96"/>
    <w:qFormat/>
    <w:uiPriority w:val="0"/>
    <w:pPr>
      <w:jc w:val="center"/>
    </w:pPr>
  </w:style>
  <w:style w:type="paragraph" w:customStyle="1" w:styleId="59">
    <w:name w:val="TAL"/>
    <w:basedOn w:val="1"/>
    <w:link w:val="95"/>
    <w:qFormat/>
    <w:uiPriority w:val="0"/>
    <w:pPr>
      <w:keepNext/>
      <w:keepLines/>
      <w:spacing w:after="0"/>
    </w:pPr>
    <w:rPr>
      <w:rFonts w:ascii="Arial" w:hAnsi="Arial"/>
      <w:sz w:val="18"/>
    </w:rPr>
  </w:style>
  <w:style w:type="paragraph" w:customStyle="1" w:styleId="60">
    <w:name w:val="TF"/>
    <w:basedOn w:val="61"/>
    <w:qFormat/>
    <w:uiPriority w:val="0"/>
    <w:pPr>
      <w:keepNext w:val="0"/>
      <w:spacing w:before="0" w:after="240"/>
    </w:pPr>
  </w:style>
  <w:style w:type="paragraph" w:customStyle="1" w:styleId="61">
    <w:name w:val="TH"/>
    <w:basedOn w:val="1"/>
    <w:link w:val="98"/>
    <w:qFormat/>
    <w:uiPriority w:val="0"/>
    <w:pPr>
      <w:keepNext/>
      <w:keepLines/>
      <w:spacing w:before="60"/>
      <w:jc w:val="center"/>
    </w:pPr>
    <w:rPr>
      <w:rFonts w:ascii="Arial" w:hAnsi="Arial"/>
      <w:b/>
    </w:rPr>
  </w:style>
  <w:style w:type="paragraph" w:customStyle="1" w:styleId="62">
    <w:name w:val="NO"/>
    <w:basedOn w:val="1"/>
    <w:link w:val="94"/>
    <w:qFormat/>
    <w:uiPriority w:val="0"/>
    <w:pPr>
      <w:keepLines/>
      <w:ind w:left="1135" w:hanging="851"/>
    </w:p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rFonts w:ascii="Arial" w:hAnsi="Arial"/>
      <w:sz w:val="18"/>
    </w:rPr>
  </w:style>
  <w:style w:type="paragraph" w:customStyle="1" w:styleId="70">
    <w:name w:val="PL"/>
    <w:link w:val="10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0"/>
    <w:pPr>
      <w:jc w:val="right"/>
    </w:pPr>
  </w:style>
  <w:style w:type="paragraph" w:customStyle="1" w:styleId="72">
    <w:name w:val="TAN"/>
    <w:basedOn w:val="59"/>
    <w:link w:val="110"/>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qFormat/>
    <w:uiPriority w:val="0"/>
    <w:rPr>
      <w:color w:val="FF0000"/>
    </w:rPr>
  </w:style>
  <w:style w:type="paragraph" w:customStyle="1" w:styleId="81">
    <w:name w:val="B1"/>
    <w:basedOn w:val="14"/>
    <w:link w:val="93"/>
    <w:qFormat/>
    <w:uiPriority w:val="0"/>
  </w:style>
  <w:style w:type="paragraph" w:customStyle="1" w:styleId="82">
    <w:name w:val="B2"/>
    <w:basedOn w:val="13"/>
    <w:link w:val="101"/>
    <w:qFormat/>
    <w:uiPriority w:val="0"/>
  </w:style>
  <w:style w:type="paragraph" w:customStyle="1" w:styleId="83">
    <w:name w:val="B3"/>
    <w:basedOn w:val="12"/>
    <w:link w:val="102"/>
    <w:qFormat/>
    <w:uiPriority w:val="0"/>
  </w:style>
  <w:style w:type="paragraph" w:customStyle="1" w:styleId="84">
    <w:name w:val="B4"/>
    <w:basedOn w:val="41"/>
    <w:qFormat/>
    <w:uiPriority w:val="0"/>
  </w:style>
  <w:style w:type="paragraph" w:customStyle="1" w:styleId="85">
    <w:name w:val="B5"/>
    <w:basedOn w:val="40"/>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0"/>
    <w:rPr>
      <w:rFonts w:ascii="Arial" w:hAnsi="Arial" w:cs="Times New Roman" w:eastAsiaTheme="minorEastAsia"/>
      <w:sz w:val="24"/>
      <w:lang w:val="en-GB" w:eastAsia="en-US" w:bidi="ar-SA"/>
    </w:rPr>
  </w:style>
  <w:style w:type="paragraph" w:customStyle="1" w:styleId="8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90">
    <w:name w:val="Heading 3.Underrubrik2.H3"/>
    <w:basedOn w:val="89"/>
    <w:next w:val="1"/>
    <w:qFormat/>
    <w:uiPriority w:val="0"/>
    <w:pPr>
      <w:spacing w:before="120"/>
      <w:outlineLvl w:val="2"/>
    </w:pPr>
    <w:rPr>
      <w:sz w:val="28"/>
    </w:rPr>
  </w:style>
  <w:style w:type="paragraph" w:customStyle="1" w:styleId="91">
    <w:name w:val="Reference"/>
    <w:basedOn w:val="1"/>
    <w:link w:val="119"/>
    <w:qFormat/>
    <w:uiPriority w:val="0"/>
    <w:pPr>
      <w:keepLines/>
      <w:numPr>
        <w:ilvl w:val="1"/>
        <w:numId w:val="2"/>
      </w:numPr>
    </w:pPr>
    <w:rPr>
      <w:rFonts w:eastAsia="MS Mincho"/>
    </w:rPr>
  </w:style>
  <w:style w:type="paragraph" w:customStyle="1" w:styleId="92">
    <w:name w:val="Zchn Zchn"/>
    <w:semiHidden/>
    <w:qFormat/>
    <w:uiPriority w:val="0"/>
    <w:pPr>
      <w:keepNext/>
      <w:numPr>
        <w:ilvl w:val="0"/>
        <w:numId w:val="3"/>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character" w:customStyle="1" w:styleId="93">
    <w:name w:val="B1 Char"/>
    <w:link w:val="81"/>
    <w:qFormat/>
    <w:uiPriority w:val="0"/>
    <w:rPr>
      <w:lang w:val="en-GB" w:eastAsia="en-US" w:bidi="ar-SA"/>
    </w:rPr>
  </w:style>
  <w:style w:type="character" w:customStyle="1" w:styleId="94">
    <w:name w:val="NO Char"/>
    <w:link w:val="62"/>
    <w:qFormat/>
    <w:uiPriority w:val="0"/>
    <w:rPr>
      <w:lang w:val="en-GB" w:eastAsia="en-US" w:bidi="ar-SA"/>
    </w:rPr>
  </w:style>
  <w:style w:type="character" w:customStyle="1" w:styleId="95">
    <w:name w:val="TAL Car"/>
    <w:link w:val="59"/>
    <w:qFormat/>
    <w:uiPriority w:val="0"/>
    <w:rPr>
      <w:rFonts w:ascii="Arial" w:hAnsi="Arial"/>
      <w:sz w:val="18"/>
      <w:lang w:val="en-GB" w:eastAsia="en-US" w:bidi="ar-SA"/>
    </w:rPr>
  </w:style>
  <w:style w:type="character" w:customStyle="1" w:styleId="96">
    <w:name w:val="TAC Char"/>
    <w:link w:val="58"/>
    <w:qFormat/>
    <w:uiPriority w:val="0"/>
    <w:rPr>
      <w:rFonts w:ascii="Arial" w:hAnsi="Arial"/>
      <w:sz w:val="18"/>
      <w:lang w:val="en-GB" w:eastAsia="en-US" w:bidi="ar-SA"/>
    </w:rPr>
  </w:style>
  <w:style w:type="character" w:customStyle="1" w:styleId="97">
    <w:name w:val="TAL Char"/>
    <w:qFormat/>
    <w:uiPriority w:val="0"/>
    <w:rPr>
      <w:rFonts w:ascii="Arial" w:hAnsi="Arial"/>
      <w:sz w:val="18"/>
      <w:lang w:val="en-GB" w:eastAsia="en-US" w:bidi="ar-SA"/>
    </w:rPr>
  </w:style>
  <w:style w:type="character" w:customStyle="1" w:styleId="98">
    <w:name w:val="TH Char"/>
    <w:link w:val="61"/>
    <w:qFormat/>
    <w:uiPriority w:val="0"/>
    <w:rPr>
      <w:rFonts w:ascii="Arial" w:hAnsi="Arial"/>
      <w:b/>
      <w:lang w:val="en-GB" w:eastAsia="en-US" w:bidi="ar-SA"/>
    </w:rPr>
  </w:style>
  <w:style w:type="character" w:customStyle="1" w:styleId="99">
    <w:name w:val="正文文本 Char"/>
    <w:link w:val="32"/>
    <w:qFormat/>
    <w:uiPriority w:val="0"/>
    <w:rPr>
      <w:sz w:val="24"/>
      <w:szCs w:val="24"/>
      <w:lang w:val="en-US" w:eastAsia="en-US" w:bidi="ar-SA"/>
    </w:rPr>
  </w:style>
  <w:style w:type="character" w:customStyle="1" w:styleId="100">
    <w:name w:val="B1 Char1"/>
    <w:qFormat/>
    <w:uiPriority w:val="0"/>
    <w:rPr>
      <w:lang w:val="en-GB" w:eastAsia="ja-JP" w:bidi="ar-SA"/>
    </w:rPr>
  </w:style>
  <w:style w:type="character" w:customStyle="1" w:styleId="101">
    <w:name w:val="B2 Char"/>
    <w:link w:val="82"/>
    <w:qFormat/>
    <w:uiPriority w:val="0"/>
    <w:rPr>
      <w:lang w:val="en-GB" w:eastAsia="en-US" w:bidi="ar-SA"/>
    </w:rPr>
  </w:style>
  <w:style w:type="character" w:customStyle="1" w:styleId="102">
    <w:name w:val="B3 Char2"/>
    <w:link w:val="83"/>
    <w:qFormat/>
    <w:uiPriority w:val="0"/>
    <w:rPr>
      <w:lang w:val="en-GB" w:eastAsia="en-US" w:bidi="ar-SA"/>
    </w:rPr>
  </w:style>
  <w:style w:type="paragraph" w:customStyle="1" w:styleId="103">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10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105">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szCs w:val="20"/>
      <w:lang w:val="en-GB"/>
    </w:rPr>
  </w:style>
  <w:style w:type="character" w:customStyle="1" w:styleId="106">
    <w:name w:val="B1 (文字)"/>
    <w:qFormat/>
    <w:uiPriority w:val="0"/>
    <w:rPr>
      <w:lang w:val="en-GB" w:eastAsia="ja-JP" w:bidi="ar-SA"/>
    </w:rPr>
  </w:style>
  <w:style w:type="character" w:customStyle="1" w:styleId="107">
    <w:name w:val="B1 Zchn"/>
    <w:qFormat/>
    <w:uiPriority w:val="0"/>
    <w:rPr>
      <w:rFonts w:eastAsia="MS Mincho"/>
      <w:lang w:val="en-GB" w:eastAsia="en-US" w:bidi="ar-SA"/>
    </w:rPr>
  </w:style>
  <w:style w:type="paragraph" w:customStyle="1" w:styleId="108">
    <w:name w:val="Char Char Char Char Char Char"/>
    <w:qFormat/>
    <w:uiPriority w:val="0"/>
    <w:pPr>
      <w:widowControl w:val="0"/>
      <w:spacing w:line="300" w:lineRule="auto"/>
      <w:ind w:firstLine="480" w:firstLineChars="200"/>
      <w:jc w:val="both"/>
    </w:pPr>
    <w:rPr>
      <w:rFonts w:ascii="Times New Roman" w:hAnsi="Times New Roman" w:eastAsia="FangSong_GB2312" w:cs="Times New Roman"/>
      <w:kern w:val="2"/>
      <w:sz w:val="24"/>
      <w:szCs w:val="24"/>
      <w:lang w:val="en-US" w:eastAsia="zh-CN" w:bidi="ar-SA"/>
    </w:rPr>
  </w:style>
  <w:style w:type="character" w:customStyle="1" w:styleId="109">
    <w:name w:val="PL Char"/>
    <w:link w:val="70"/>
    <w:qFormat/>
    <w:uiPriority w:val="0"/>
    <w:rPr>
      <w:rFonts w:ascii="Courier New" w:hAnsi="Courier New" w:eastAsia="宋体"/>
      <w:sz w:val="16"/>
      <w:lang w:val="en-GB" w:eastAsia="en-US" w:bidi="ar-SA"/>
    </w:rPr>
  </w:style>
  <w:style w:type="character" w:customStyle="1" w:styleId="110">
    <w:name w:val="TAN Char"/>
    <w:link w:val="72"/>
    <w:qFormat/>
    <w:uiPriority w:val="0"/>
    <w:rPr>
      <w:rFonts w:ascii="Arial" w:hAnsi="Arial" w:eastAsia="宋体"/>
      <w:sz w:val="18"/>
      <w:lang w:val="en-GB" w:eastAsia="en-US" w:bidi="ar-SA"/>
    </w:rPr>
  </w:style>
  <w:style w:type="character" w:customStyle="1" w:styleId="111">
    <w:name w:val="TAH Car"/>
    <w:link w:val="57"/>
    <w:qFormat/>
    <w:uiPriority w:val="0"/>
    <w:rPr>
      <w:rFonts w:ascii="Arial" w:hAnsi="Arial" w:eastAsia="宋体"/>
      <w:b/>
      <w:sz w:val="18"/>
      <w:lang w:val="en-GB" w:eastAsia="en-US" w:bidi="ar-SA"/>
    </w:rPr>
  </w:style>
  <w:style w:type="paragraph" w:customStyle="1" w:styleId="112">
    <w:name w:val="TableText"/>
    <w:basedOn w:val="33"/>
    <w:qFormat/>
    <w:uiPriority w:val="0"/>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customStyle="1" w:styleId="113">
    <w:name w:val="Heading2"/>
    <w:basedOn w:val="1"/>
    <w:qFormat/>
    <w:uiPriority w:val="0"/>
    <w:pPr>
      <w:jc w:val="both"/>
    </w:pPr>
    <w:rPr>
      <w:sz w:val="22"/>
      <w:szCs w:val="22"/>
    </w:rPr>
  </w:style>
  <w:style w:type="paragraph" w:styleId="114">
    <w:name w:val="List Paragraph"/>
    <w:basedOn w:val="1"/>
    <w:qFormat/>
    <w:uiPriority w:val="34"/>
    <w:pPr>
      <w:spacing w:after="0"/>
      <w:ind w:left="720"/>
    </w:pPr>
    <w:rPr>
      <w:rFonts w:ascii="Calibri" w:hAnsi="Calibri" w:cs="Calibri"/>
      <w:sz w:val="22"/>
      <w:szCs w:val="22"/>
      <w:lang w:val="en-US" w:eastAsia="zh-CN"/>
    </w:rPr>
  </w:style>
  <w:style w:type="paragraph" w:customStyle="1" w:styleId="115">
    <w:name w:val="references"/>
    <w:qFormat/>
    <w:uiPriority w:val="99"/>
    <w:pPr>
      <w:numPr>
        <w:ilvl w:val="0"/>
        <w:numId w:val="5"/>
      </w:numPr>
      <w:spacing w:after="50" w:line="180" w:lineRule="exact"/>
      <w:jc w:val="both"/>
    </w:pPr>
    <w:rPr>
      <w:rFonts w:ascii="Times New Roman" w:hAnsi="Times New Roman" w:eastAsia="MS Mincho" w:cs="Times New Roman"/>
      <w:szCs w:val="16"/>
      <w:lang w:val="en-US" w:eastAsia="en-US" w:bidi="ar-SA"/>
    </w:rPr>
  </w:style>
  <w:style w:type="paragraph" w:customStyle="1" w:styleId="116">
    <w:name w:val="Tdoc_Header_2"/>
    <w:basedOn w:val="1"/>
    <w:qFormat/>
    <w:uiPriority w:val="0"/>
    <w:pPr>
      <w:widowControl w:val="0"/>
      <w:tabs>
        <w:tab w:val="left" w:pos="1701"/>
        <w:tab w:val="right" w:pos="9072"/>
        <w:tab w:val="right" w:pos="10206"/>
      </w:tabs>
      <w:spacing w:after="0"/>
      <w:jc w:val="both"/>
    </w:pPr>
    <w:rPr>
      <w:rFonts w:ascii="Arial" w:hAnsi="Arial" w:eastAsia="Batang"/>
      <w:b/>
      <w:sz w:val="18"/>
    </w:rPr>
  </w:style>
  <w:style w:type="character" w:customStyle="1" w:styleId="117">
    <w:name w:val="脚注文本 Char"/>
    <w:link w:val="39"/>
    <w:semiHidden/>
    <w:qFormat/>
    <w:uiPriority w:val="0"/>
    <w:rPr>
      <w:rFonts w:ascii="Times New Roman" w:hAnsi="Times New Roman"/>
      <w:sz w:val="16"/>
      <w:lang w:val="en-GB"/>
    </w:rPr>
  </w:style>
  <w:style w:type="character" w:customStyle="1" w:styleId="118">
    <w:name w:val="页眉 Char"/>
    <w:link w:val="38"/>
    <w:qFormat/>
    <w:uiPriority w:val="0"/>
    <w:rPr>
      <w:rFonts w:ascii="Arial" w:hAnsi="Arial"/>
      <w:b/>
      <w:sz w:val="18"/>
      <w:lang w:val="en-GB"/>
    </w:rPr>
  </w:style>
  <w:style w:type="character" w:customStyle="1" w:styleId="119">
    <w:name w:val="Reference Char"/>
    <w:link w:val="91"/>
    <w:qFormat/>
    <w:uiPriority w:val="0"/>
    <w:rPr>
      <w:rFonts w:ascii="Times New Roman" w:hAnsi="Times New Roman" w:eastAsia="MS Mincho"/>
      <w:lang w:val="en-GB"/>
    </w:rPr>
  </w:style>
  <w:style w:type="character" w:customStyle="1" w:styleId="120">
    <w:name w:val="批注文字 Char"/>
    <w:link w:val="16"/>
    <w:qFormat/>
    <w:uiPriority w:val="0"/>
    <w:rPr>
      <w:rFonts w:ascii="Times New Roman" w:hAnsi="Times New Roman"/>
      <w:lang w:val="en-GB"/>
    </w:rPr>
  </w:style>
  <w:style w:type="paragraph" w:customStyle="1" w:styleId="121">
    <w:name w:val="Statement Body"/>
    <w:basedOn w:val="122"/>
    <w:qFormat/>
    <w:uiPriority w:val="0"/>
    <w:pPr>
      <w:numPr>
        <w:ilvl w:val="0"/>
        <w:numId w:val="6"/>
      </w:numPr>
      <w:tabs>
        <w:tab w:val="left" w:pos="432"/>
      </w:tabs>
      <w:spacing w:after="100" w:afterAutospacing="1"/>
      <w:ind w:left="432" w:hanging="432"/>
      <w:contextualSpacing/>
    </w:pPr>
    <w:rPr>
      <w:rFonts w:eastAsia="Times New Roman"/>
      <w:sz w:val="22"/>
      <w:szCs w:val="24"/>
      <w:lang w:val="en-US" w:eastAsia="ko-KR"/>
    </w:rPr>
  </w:style>
  <w:style w:type="paragraph" w:customStyle="1" w:styleId="122">
    <w:name w:val="Bibliography"/>
    <w:basedOn w:val="1"/>
    <w:next w:val="1"/>
    <w:semiHidden/>
    <w:unhideWhenUsed/>
    <w:qFormat/>
    <w:uiPriority w:val="37"/>
  </w:style>
  <w:style w:type="paragraph" w:customStyle="1" w:styleId="123">
    <w:name w:val="IvD bodytext"/>
    <w:basedOn w:val="32"/>
    <w:link w:val="124"/>
    <w:qFormat/>
    <w:uiPriority w:val="0"/>
    <w:pPr>
      <w:keepLines/>
      <w:tabs>
        <w:tab w:val="left" w:pos="2552"/>
        <w:tab w:val="left" w:pos="3856"/>
        <w:tab w:val="left" w:pos="5216"/>
        <w:tab w:val="left" w:pos="6464"/>
        <w:tab w:val="left" w:pos="7768"/>
        <w:tab w:val="left" w:pos="9072"/>
        <w:tab w:val="left" w:pos="9639"/>
      </w:tabs>
      <w:spacing w:before="240"/>
    </w:pPr>
    <w:rPr>
      <w:rFonts w:ascii="Arial" w:hAnsi="Arial" w:eastAsia="Times New Roman"/>
      <w:spacing w:val="2"/>
      <w:sz w:val="20"/>
      <w:szCs w:val="20"/>
    </w:rPr>
  </w:style>
  <w:style w:type="character" w:customStyle="1" w:styleId="124">
    <w:name w:val="IvD bodytext Char"/>
    <w:link w:val="123"/>
    <w:qFormat/>
    <w:uiPriority w:val="0"/>
    <w:rPr>
      <w:rFonts w:ascii="Arial" w:hAnsi="Arial" w:eastAsia="Times New Roman"/>
      <w:spacing w:val="2"/>
    </w:rPr>
  </w:style>
  <w:style w:type="paragraph" w:customStyle="1" w:styleId="125">
    <w:name w:val="IvD Instructiontext"/>
    <w:basedOn w:val="32"/>
    <w:link w:val="126"/>
    <w:qFormat/>
    <w:uiPriority w:val="99"/>
    <w:pPr>
      <w:keepLines/>
      <w:tabs>
        <w:tab w:val="left" w:pos="2552"/>
        <w:tab w:val="left" w:pos="3856"/>
        <w:tab w:val="left" w:pos="5216"/>
        <w:tab w:val="left" w:pos="6464"/>
        <w:tab w:val="left" w:pos="7768"/>
        <w:tab w:val="left" w:pos="9072"/>
        <w:tab w:val="left" w:pos="9639"/>
      </w:tabs>
      <w:spacing w:before="240"/>
    </w:pPr>
    <w:rPr>
      <w:rFonts w:ascii="Arial" w:hAnsi="Arial" w:eastAsia="Times New Roman"/>
      <w:i/>
      <w:color w:val="7F7F7F"/>
      <w:spacing w:val="2"/>
      <w:sz w:val="18"/>
      <w:szCs w:val="18"/>
    </w:rPr>
  </w:style>
  <w:style w:type="character" w:customStyle="1" w:styleId="126">
    <w:name w:val="IvD Instructiontext Char"/>
    <w:link w:val="125"/>
    <w:qFormat/>
    <w:uiPriority w:val="99"/>
    <w:rPr>
      <w:rFonts w:ascii="Arial" w:hAnsi="Arial" w:eastAsia="Times New Roman"/>
      <w:i/>
      <w:color w:val="7F7F7F"/>
      <w:spacing w:val="2"/>
      <w:sz w:val="18"/>
      <w:szCs w:val="18"/>
    </w:rPr>
  </w:style>
  <w:style w:type="character" w:customStyle="1" w:styleId="127">
    <w:name w:val="标题 1 Char"/>
    <w:basedOn w:val="46"/>
    <w:link w:val="2"/>
    <w:qFormat/>
    <w:uiPriority w:val="9"/>
    <w:rPr>
      <w:rFonts w:ascii="Arial" w:hAnsi="Arial"/>
      <w:sz w:val="36"/>
      <w:lang w:val="en-GB"/>
    </w:rPr>
  </w:style>
  <w:style w:type="paragraph" w:customStyle="1" w:styleId="128">
    <w:name w:val="Revision"/>
    <w:hidden/>
    <w:semiHidden/>
    <w:qFormat/>
    <w:uiPriority w:val="99"/>
    <w:rPr>
      <w:rFonts w:ascii="Times New Roman" w:hAnsi="Times New Roman" w:cs="Times New Roman" w:eastAsiaTheme="minorEastAsia"/>
      <w:lang w:val="en-GB" w:eastAsia="en-US" w:bidi="ar-SA"/>
    </w:rPr>
  </w:style>
  <w:style w:type="paragraph" w:customStyle="1" w:styleId="129">
    <w:name w:val="Observation"/>
    <w:basedOn w:val="1"/>
    <w:qFormat/>
    <w:uiPriority w:val="0"/>
    <w:pPr>
      <w:numPr>
        <w:ilvl w:val="0"/>
        <w:numId w:val="7"/>
      </w:numPr>
      <w:tabs>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130">
    <w:name w:val="Proposal"/>
    <w:basedOn w:val="1"/>
    <w:qFormat/>
    <w:uiPriority w:val="0"/>
    <w:pPr>
      <w:numPr>
        <w:ilvl w:val="0"/>
        <w:numId w:val="8"/>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lang w:eastAsia="zh-CN"/>
    </w:rPr>
  </w:style>
  <w:style w:type="character" w:customStyle="1" w:styleId="131">
    <w:name w:val="页脚 Char"/>
    <w:basedOn w:val="46"/>
    <w:link w:val="37"/>
    <w:qFormat/>
    <w:uiPriority w:val="0"/>
    <w:rPr>
      <w:rFonts w:ascii="Arial" w:hAnsi="Arial"/>
      <w:b/>
      <w:i/>
      <w:sz w:val="18"/>
      <w:lang w:val="en-GB"/>
    </w:rPr>
  </w:style>
  <w:style w:type="character" w:customStyle="1" w:styleId="132">
    <w:name w:val="首标题"/>
    <w:uiPriority w:val="0"/>
    <w:rPr>
      <w:rFonts w:ascii="Arial" w:hAnsi="Arial" w:eastAsia="宋体"/>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0A5BA9-D194-4C65-9C97-62E37E253D00}">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1336</Words>
  <Characters>7618</Characters>
  <Lines>63</Lines>
  <Paragraphs>17</Paragraphs>
  <TotalTime>0</TotalTime>
  <ScaleCrop>false</ScaleCrop>
  <LinksUpToDate>false</LinksUpToDate>
  <CharactersWithSpaces>8937</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2016-04-01T08:06:00Z</dcterms:created>
  <dcterms:modified xsi:type="dcterms:W3CDTF">2018-11-02T02:24:55Z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